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hyperlink r:id="rId11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Приказ Министерства труда и социальной защиты Российской Федерации от 10 декабря 2024 г. N 683н "Об утверждении Стандарта деятельности по осуществлению полномочия в сфере занятости населения по организации временного трудоустройства безработных граждан, испытывающих трудности в поиске работы" (документ не вступил в силу)</w:t>
        </w:r>
      </w:hyperlink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 соответствии с </w:t>
      </w:r>
      <w:hyperlink r:id="rId12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частью 2 статьи 16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Федерального закона от 12 декабря 2023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г. N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565-ФЗ "О занятости населения в Российской Федерации" и </w:t>
      </w:r>
      <w:hyperlink r:id="rId13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подпунктом 5.2.54 пункта 5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Положения о Министерстве труда и социальной защиты Российской Федерации, утвержденного </w:t>
      </w:r>
      <w:hyperlink r:id="rId14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постановлением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Правительства Российской Федерации от 19 июня 2012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г. N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610, приказываю: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1" w:name="sub_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1. Утвердить Стандарт деятельности по осуществлению полномочия в сфере занятости населения по организации временного трудоустройства безработных граждан, испытывающих трудности в поиске работы (далее - Стандарт деятельности), согласно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приложению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к настоящему приказу.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"/>
      <w:bookmarkStart w:id="2" w:name="sub_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2. Установить, что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пункты 1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и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4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приложения к Стандарту деятельности вступают в силу с 1 января 2026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"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right w:w="0" w:type="dxa"/>
        </w:tblCellMar>
      </w:tblPr>
      <w:tblGrid>
        <w:gridCol w:w="6867"/>
        <w:gridCol w:w="3433"/>
      </w:tblGrid>
      <w:tr>
        <w:tc>
          <w:tcPr>
            <w:tcW w:w="6867" w:type="dxa"/>
            <w:textDirection w:val="lrTb"/>
            <w:vAlign w:val="top"/>
          </w:tcPr>
          <w:p>
            <w:pPr>
              <w:pStyle w:val="Style_32"/>
              <w:spacing w:before="0" w:after="0" w:line="240" w:lineRule="auto"/>
              <w:ind w:firstLine="0"/>
              <w:jc w:val="lef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Министр</w:t>
            </w:r>
          </w:p>
        </w:tc>
        <w:tc>
          <w:tcPr>
            <w:tcW w:w="3433" w:type="dxa"/>
            <w:textDirection w:val="lrTb"/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right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А.О.</w:t>
            </w: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 </w:t>
            </w: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Котяков</w:t>
            </w:r>
          </w:p>
        </w:tc>
      </w:tr>
    </w:tbl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32"/>
        <w:spacing w:before="0" w:after="0" w:line="240" w:lineRule="auto"/>
        <w:ind w:firstLine="0"/>
        <w:jc w:val="left"/>
        <w:rPr>
          <w:rFonts w:ascii="Times New Roman CYR" w:hAnsi="Times New Roman CYR" w:eastAsia="Times New Roman CYR" w:cs="Times New Roman CYR"/>
          <w:sz w:val="24"/>
        </w:rPr>
      </w:pPr>
      <w:r>
        <w:rPr>
          <w:rFonts w:ascii="Times New Roman CYR" w:hAnsi="Times New Roman CYR" w:eastAsia="Times New Roman CYR" w:cs="Times New Roman CYR"/>
          <w:sz w:val="24"/>
        </w:rPr>
        <w:t xml:space="preserve">Зарегистрировано в Минюсте России 17 февраля 2025 г.</w:t>
      </w:r>
      <w:r>
        <w:rPr>
          <w:rFonts w:ascii="Times New Roman CYR" w:hAnsi="Times New Roman CYR" w:eastAsia="Times New Roman CYR" w:cs="Times New Roman CYR"/>
          <w:sz w:val="24"/>
        </w:rPr>
        <w:br/>
      </w:r>
      <w:r>
        <w:rPr>
          <w:rFonts w:ascii="Times New Roman CYR" w:hAnsi="Times New Roman CYR" w:eastAsia="Times New Roman CYR" w:cs="Times New Roman CYR"/>
          <w:sz w:val="24"/>
        </w:rPr>
        <w:t xml:space="preserve">Регистрационный N 81266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3" w:name="sub_1000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Приложение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к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приказу</w:t>
        </w:r>
      </w:hyperlink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Министерства труда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и социальной защиты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Российской Федерации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от 10 декабря 2024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г. N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683н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"/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Стандарт</w:t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деятельности по осуществлению полномочия в сфере занятости населения по организации временного трудоустройства безработных граждан, испытывающих трудности в поиске работы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bookmarkStart w:id="4" w:name="sub_1100"/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I. Общие положения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"/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5" w:name="sub_100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1. Настоящий Стандарт устанавливает требования к порядку осуществления полномочия по предоставлению меры государственной поддержки в сфере занятости населения по организации временного трудоустройства безработных граждан, испытывающих трудности в поиске работы (далее соответственно - полномочие, мера поддержки, временное трудоустройство), составу, последовательности и срокам выполнения процедур (действий) при осуществлении полномочия, показатели исполнения настоящего Стандарта, порядок представления сведений, необходимых для расчета указанных показателей, методику оценки (расчета) показателей.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"/>
      <w:bookmarkStart w:id="6" w:name="sub_100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2. Полномочие осуществляется государственными учреждениями, созданными субъектами Российской Федерации в целях осуществления полномочий в сфере занятости населения (далее - центр занятости населения), в отношении граждан, испытывающих трудности в поиске работы и признанных безработными (далее - граждане):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"/>
      <w:bookmarkStart w:id="7" w:name="sub_1002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инвалиды;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"/>
      <w:bookmarkStart w:id="8" w:name="sub_1002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лица, освобожденные из учреждений, исполняющих наказание в виде лишения свободы, и ищущие работу в течение одного года с даты освобождения;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"/>
      <w:bookmarkStart w:id="9" w:name="sub_1002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9"/>
      <w:bookmarkStart w:id="10" w:name="sub_1002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г) беженцы и вынужденные переселенцы;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0"/>
      <w:bookmarkStart w:id="11" w:name="sub_1002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д) граждане, уволенные с военной службы, и члены их семей;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1"/>
      <w:bookmarkStart w:id="12" w:name="sub_1002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е) одинокие и многодетные родители, усыновители, опекуны (попечители), воспитывающие несовершеннолетних детей, детей-инвалидов;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2"/>
      <w:bookmarkStart w:id="13" w:name="sub_10027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ж) граждане, подвергшиеся воздействию радиации вследствие радиационных аварий и катастроф;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3"/>
      <w:bookmarkStart w:id="14" w:name="sub_1002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з) граждане в возрасте от 18 до 25 лет,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(в случае прохождения указанными гражданами в данный период военной службы по призыву - с даты окончания прохождения военной службы по призыву).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4"/>
      <w:bookmarkStart w:id="15" w:name="sub_100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3. Полномочие включает: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процедуры (действия) по организации временного трудоустройства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сервис, направленный на временное трудоустройство гражданина, "Временное трудоустройство граждан без постоянной работы" (далее - временное трудоустройство гражданина).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bookmarkStart w:id="16" w:name="sub_1200"/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II.</w:t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Требования к порядку осуществления полномочия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6"/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17" w:name="sub_100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4. Информирование о временном трудоустройстве граждан осуществляется: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7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 федеральной государственной информационной системе Единая цифровая платформа в сфере занятости и трудовых отношений </w:t>
      </w:r>
      <w:hyperlink r:id="rId15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"Работа в России"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  <w:vertAlign w:val="superscript"/>
        </w:rPr>
        <w:t xml:space="preserve">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  <w:vertAlign w:val="superscript"/>
          </w:rPr>
          <w:t xml:space="preserve">1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  <w:vertAlign w:val="superscript"/>
        </w:rPr>
        <w:t xml:space="preserve"> </w:t>
      </w: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(далее - единая цифровая платформа) в разделе, посвященном порядку предоставления меры поддержки, в виде текстовой и графической информации;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непосредственно в помещениях центра занятости населения в виде текстовой и графической информации, размещенной на стендах, плакатах и баннерах, или консультаций с работниками центра занятости населения.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18" w:name="sub_100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5. Дополнительно информирование может осуществляться с использованием официальных сайтов исполнительных органов субъектов Российской Федерации, осуществляющих полномочия в сфере занятости населения, по телефону "горячей линии" центров занятости населения, средств массовой информации и иных каналов.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8"/>
      <w:bookmarkStart w:id="19" w:name="sub_100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6. Мера поддержки предоставляется на основании сведений о гражданине, содержащихся на единой цифровой платформе, представленных гражданином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19"/>
      <w:bookmarkStart w:id="20" w:name="sub_1007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7. Мера поддержки предоставляется гражданину в случае, если она включена в индивидуальный план содействия занятости, формируемый центром занятости населения в соответствии со </w:t>
      </w:r>
      <w:hyperlink r:id="rId16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статьей 26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Федерального закона "О занятости населения в Российской Федерации" (далее - индивидуальный план).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0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Гражданин обращается за временным трудоустройством путем согласования индивидуального плана, указанного в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абзаце первом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пункта, или изменений индивидуального плана. Основанием для начала временного трудоустройства гражданина является признание гражданина безработным или согласование гражданином изменений индивидуального плана.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Центр занятости населения указывает в индивидуальном плане срок, в который гражданин должен предоставить информацию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соответствии с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абзацем третьим подпункта "в" пункта 25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Стандарта.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21" w:name="sub_100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8. Гражданин вправе обратиться в центр занятости населения по вопросам, связанным с его временным трудоустройством.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1"/>
      <w:bookmarkStart w:id="22" w:name="sub_1009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9. В центрах занятости населения гражданам обеспечивается доступ к единой цифровой платформе, а также оказывается необходимое консультационное содействие.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При личном посещении центра занятости населения гражданин предъявляет паспорт или документ его заменяющий.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 случае личного посещения гражданином центра занятости населения процедуры, предусмотренные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подпунктами "а"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и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"б" пункта 22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Стандарта, осуществляются по его желанию в день обращения.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23" w:name="sub_1010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10. Уведомления, направляемые центрами занятости населения гражданину в соответствии с настоящим Стандартом, формируются автоматически с использованием единой цифровой платформы. Информирование гражданина о направлении ему уведомлений через единую цифровую платформу осуществляется путем автоматизированного формирования и передачи текстовых сообщений на адрес электронной почты гражданина, указанный в личном деле гражданина, формируемом в электронной форме в соответствии со </w:t>
      </w:r>
      <w:hyperlink r:id="rId17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статьей 21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Федерального закона "О занятости населения в Российской Федерации".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3"/>
      <w:bookmarkStart w:id="24" w:name="sub_101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11. Временное трудоустройство гражданина прекращается в случаях: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непредставления гражданином без уважительных причин</w:t>
      </w:r>
      <w:r>
        <w:rPr>
          <w:rStyle w:val="Style_65552"/>
          <w:rFonts w:ascii="Times New Roman CYR" w:hAnsi="Times New Roman CYR" w:eastAsia="Times New Roman CYR" w:cs="Times New Roman CYR"/>
          <w:sz w:val="24"/>
          <w:vertAlign w:val="superscript"/>
        </w:rPr>
        <w:t xml:space="preserve">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  <w:vertAlign w:val="superscript"/>
          </w:rPr>
          <w:t xml:space="preserve">2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снятия с регистрационного учета гражданина, признанного в установленном порядке безработным</w:t>
      </w:r>
      <w:r>
        <w:rPr>
          <w:rStyle w:val="Style_65552"/>
          <w:rFonts w:ascii="Times New Roman CYR" w:hAnsi="Times New Roman CYR" w:eastAsia="Times New Roman CYR" w:cs="Times New Roman CYR"/>
          <w:sz w:val="24"/>
          <w:vertAlign w:val="superscript"/>
        </w:rPr>
        <w:t xml:space="preserve">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  <w:vertAlign w:val="superscript"/>
          </w:rPr>
          <w:t xml:space="preserve">3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25" w:name="sub_101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12. Результатом организации временного трудоустройства граждан является формирование на единой цифровой платформе базы вакансий для временного трудоустройства граждан в соответствии с договорами, заключенными с работодателями.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5"/>
      <w:bookmarkStart w:id="26" w:name="sub_101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13. Результатом сервиса "Временное трудоустройство граждан без постоянной работы" является: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6"/>
      <w:bookmarkStart w:id="27" w:name="sub_113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перечень предложений (вариантов) временного трудоустройства вместе с уведомлениями о проведении переговоров о временном трудоустройстве, направленными гражданину;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7"/>
      <w:bookmarkStart w:id="28" w:name="sub_113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результаты проведения переговоров о временном трудоустройстве, информация о которых представлена на единую цифровую платформу в соответствии с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абзацем третьим подпункта "в" пункта 25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Стандарта;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8"/>
      <w:bookmarkStart w:id="29" w:name="sub_113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финансовая поддержка гражданину в период временного трудоустройства.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29"/>
      <w:bookmarkStart w:id="30" w:name="sub_101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14. Центр занятости населения фиксирует на единой цифровой платформе невыполнение гражданином индивидуального плана по получению меры поддержки в соответствии с установленными критериями</w:t>
      </w:r>
      <w:r>
        <w:rPr>
          <w:rStyle w:val="Style_65552"/>
          <w:rFonts w:ascii="Times New Roman CYR" w:hAnsi="Times New Roman CYR" w:eastAsia="Times New Roman CYR" w:cs="Times New Roman CYR"/>
          <w:sz w:val="24"/>
          <w:vertAlign w:val="superscript"/>
        </w:rPr>
        <w:t xml:space="preserve">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  <w:vertAlign w:val="superscript"/>
          </w:rPr>
          <w:t xml:space="preserve">4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в случае невыполнения гражданином обязанностей, предусмотренных настоящим Стандартом, в том числе непредставление гражданином без уважительных причин</w:t>
      </w:r>
      <w:r>
        <w:rPr>
          <w:rStyle w:val="Style_65552"/>
          <w:rFonts w:ascii="Times New Roman CYR" w:hAnsi="Times New Roman CYR" w:eastAsia="Times New Roman CYR" w:cs="Times New Roman CYR"/>
          <w:sz w:val="24"/>
          <w:vertAlign w:val="superscript"/>
        </w:rPr>
        <w:t xml:space="preserve">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  <w:vertAlign w:val="superscript"/>
          </w:rPr>
          <w:t xml:space="preserve">5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0"/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bookmarkStart w:id="31" w:name="sub_1300"/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III. Требования к составу, последовательности и срокам выполнения процедур (действий) и предоставления сервиса при осуществлении полномочия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1"/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32" w:name="sub_101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15. Осуществление полномочия в части организации временного трудоустройства граждан включает следующие процедуры (действия):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2"/>
      <w:bookmarkStart w:id="33" w:name="sub_115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сбор и анализ информации о возможности организации временного трудоустройства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3"/>
      <w:bookmarkStart w:id="34" w:name="sub_115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информирование, отбор работодателей для организации временного трудоустройства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4"/>
      <w:bookmarkStart w:id="35" w:name="sub_115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согласование и заключение с работодателем договора об организации временного трудоустройства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5"/>
      <w:bookmarkStart w:id="36" w:name="sub_115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г) внесение сведений о заключенных договорах с работодателями об организации временного трудоустройства на единую цифровую платформу, формирование базы вакансий для временного трудоустройства граждан.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6"/>
      <w:bookmarkStart w:id="37" w:name="sub_101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16. Центр занятости населения для организации временного трудоустройства граждан осуществляет сбор и анализ информации о возможности организации временного трудоустройства граждан с учетом: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7"/>
      <w:bookmarkStart w:id="38" w:name="sub_116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распределения численности работников и организаций, расположенных на территории муниципального образования, субъекта Российской Федерации, по видам экономической деятельности, финансово-экономическому состоянию организаций;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8"/>
      <w:bookmarkStart w:id="39" w:name="sub_116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результатов анализа программ профессионального развития кадров, прогнозирования профессионально-квалификационной структуры потребности в трудовых ресурсах;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39"/>
      <w:bookmarkStart w:id="40" w:name="sub_116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оценки потребности работодателей в трудовых ресурсах исходя из перспектив социально-экономического развития региона по видам экономической деятельности;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0"/>
      <w:bookmarkStart w:id="41" w:name="sub_116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г) состава граждан по образованию, профессионально-квалификационной структуре, продолжительности поиска подходящей работы, причин, препятствующих трудоустройству в зависимости от отношения к определенной категории граждан, испытывающих трудности в поиске подходящей работы;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1"/>
      <w:bookmarkStart w:id="42" w:name="sub_116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д) доступности инфраструктуры для граждан, имеющих ограничения жизнедеятельности;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2"/>
      <w:bookmarkStart w:id="43" w:name="sub_116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е) спроса граждан на участие во временном трудоустройстве;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3"/>
      <w:bookmarkStart w:id="44" w:name="sub_1167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ж) предложений работодателей и органов местного самоуправления по организации временного трудоустройства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4"/>
      <w:bookmarkStart w:id="45" w:name="sub_116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з) сроков и продолжительности временного трудоустройства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5"/>
      <w:bookmarkStart w:id="46" w:name="sub_1169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и) условий организации и проведения временного трудоустройства граждан; к) удаленности места временного трудоустройства от места жительства или места пребывания гражданина.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6"/>
      <w:bookmarkStart w:id="47" w:name="sub_1017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17. Центр занятости населения осуществляет отбор работодателей для организации временного трудоустройства граждан с учетом: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7"/>
      <w:bookmarkStart w:id="48" w:name="sub_117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количества создаваемых рабочих мест и численности граждан, для которых осуществляется организация временного трудоустройства;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8"/>
      <w:bookmarkStart w:id="49" w:name="sub_117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наличия или возможности создания работодателем условий труда и доступности рабочего места для инвалида с учетом индивидуальной программы реабилитации или абилитации;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49"/>
      <w:bookmarkStart w:id="50" w:name="sub_117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транспортной доступности места проведения временного трудоустройства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0"/>
      <w:bookmarkStart w:id="51" w:name="sub_117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г) условий временного трудоустройства граждан;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1"/>
      <w:bookmarkStart w:id="52" w:name="sub_117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д) сроков и продолжительности временного трудоустройства в зависимости от категории гражданина;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2"/>
      <w:bookmarkStart w:id="53" w:name="sub_117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е) соблюдения работодателем </w:t>
      </w:r>
      <w:hyperlink r:id="rId18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трудового законодательства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Российской Федерации и иных нормативных правовых актов, содержащих нормы трудового права;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3"/>
      <w:bookmarkStart w:id="54" w:name="sub_1177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ж) оценки возможности трудоустройства граждан на постоянное рабочее место после окончания периода временного трудоустройства;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4"/>
      <w:bookmarkStart w:id="55" w:name="sub_117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з) наличия у работодателя средств на финансирование временного трудоустройства граждан.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5"/>
      <w:bookmarkStart w:id="56" w:name="sub_101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18. Центр занятости населения информирует работодателей о порядке организации временного трудоустройства граждан.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6"/>
      <w:bookmarkStart w:id="57" w:name="sub_1019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19. Центр занятости населения заключает с работодателем договор об организации временного трудоустройства граждан.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7"/>
      <w:bookmarkStart w:id="58" w:name="sub_1020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20. Центр занятости населения вносит сведения о заключенных договорах с работодателями об организации временного трудоустройства граждан на единую цифровую платформу.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Центр занятости населения формирует и ведет на единой цифровой платформе реестр указанных договоров.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После подачи работодателем заявления о содействии в подборе необходимых работников и размещения работодателем информации о свободных рабочих местах и вакантных должностях, в том числе о потребности в их замещении</w:t>
      </w:r>
      <w:r>
        <w:rPr>
          <w:rStyle w:val="Style_65552"/>
          <w:rFonts w:ascii="Times New Roman CYR" w:hAnsi="Times New Roman CYR" w:eastAsia="Times New Roman CYR" w:cs="Times New Roman CYR"/>
          <w:sz w:val="24"/>
          <w:vertAlign w:val="superscript"/>
        </w:rPr>
        <w:t xml:space="preserve">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  <w:vertAlign w:val="superscript"/>
          </w:rPr>
          <w:t xml:space="preserve">6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для временного трудоустройства граждан (далее - информация о вакансии для временного трудоустройства) на единой цифровой платформе для центра занятости населения отображается информация о заключенном договоре об организации временного трудоустройства, к которому относится данная информация о вакансии.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59" w:name="sub_102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21. В случае если работодатель подает заявление о содействии в подборе необходимых работников и размещает на единой цифровой информацию о вакансии для временного трудоустройства без предварительно заключенного договора об организации временного трудоустройства, центр занятости населения осуществляет процедуры (действия), предусмотренные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18 - 20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Стандарта.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59"/>
      <w:bookmarkStart w:id="60" w:name="sub_102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22. Предоставление сервиса "Временное трудоустройство граждан без постоянной работы" включает следующие процедуры (действия):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0"/>
      <w:bookmarkStart w:id="61" w:name="sub_122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подбор предложений (вариантов) временного трудоустройства, исходя из информации о вакансиях для временного трудоустройства, содержащейся на единой цифровой платформе (в базе вакансий на временное трудоустройство в соответствии с договорами, заключенными с работодателями), и согласование с работодателями кандидатуры гражданина на временное трудоустройство;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1"/>
      <w:bookmarkStart w:id="62" w:name="sub_122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направление гражданину перечня предложений (вариантов) временного трудоустройства, по которым с работодателем согласована кандидатура гражданина для проведения переговоров о трудоустройстве, вместе с уведомлениями о проведении переговоров;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2"/>
      <w:bookmarkStart w:id="63" w:name="sub_122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оформление результатов проведения переговоров о временном трудоустройстве;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3"/>
      <w:bookmarkStart w:id="64" w:name="sub_122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г) фиксация на единой цифровой платформе временного трудоустройства гражданина;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4"/>
      <w:bookmarkStart w:id="65" w:name="sub_122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д) назначение и выплата финансовой поддержки гражданину.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5"/>
      <w:bookmarkStart w:id="66" w:name="sub_102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23. Центр занятости населения в срок не позднее 1 рабочего дня со дня признания гражданина безработным или согласования гражданином изменений индивидуального плана: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6"/>
      <w:bookmarkStart w:id="67" w:name="sub_123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проводит анализ сведений о гражданине, внесенных на единую цифровую платформу на основании сведений и (или) документов, представленных им или полученных центром занятости населения на основании межведомственного запроса, в том числе с использованием единой системы межведомственного электронного взаимодействия, при регистрации гражданина в целях поиска подходящей работы;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7"/>
      <w:bookmarkStart w:id="68" w:name="sub_123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осуществляет подбор гражданину предложений (вариантов) временного трудоустройства путем: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формирования перечня предложений (вариантов) временного трудоустройства в автоматическом режиме с использованием единой цифровой платформы, исходя из информации о вакансиях для временного трудоустройства, содержащихся в базе вакансий на временное трудоустройство в соответствии с договорами, заключенными с работодателями;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анализа автоматически сформированного перечня предложений (вариантов) временного трудоустройства и отбора предложений (вариантов) временного трудоустройства, с учетом сведений о гражданине;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дополнительного поиска предложений (вариантов) временного трудоустройства с использованием единой цифровой платформы;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69" w:name="sub_123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согласовывает с работодателями посредством телефонной связи или электронной связи, в том числе через информационно-телекоммуникационную сеть "Интернет", кандидатуру гражданина на проведение переговоров о трудоустройстве по каждому предложению (варианту) временного трудоустройства, включенному в перечень предложений (вариантов) временного трудоустройства, до получения согласия от работодателя по 2 предложениям (вариантам) временного трудоустройства;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69"/>
      <w:bookmarkStart w:id="70" w:name="sub_123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г) вносит сведения на единую цифровую платформу о согласовании с работодателем кандидатуры гражданина.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0"/>
      <w:bookmarkStart w:id="71" w:name="sub_102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24. При отсутствии на единой цифровой платформе информации о вакансиях для временного трудоустройства в день признания гражданина безработным или согласования гражданином изменений индивидуального плана срок, указанный в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абзаце первом пункта 23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Стандарта, исчисляется со дня поступления на единую цифровую платформу информации о вакансиях для временного трудоустройства.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1"/>
      <w:bookmarkStart w:id="72" w:name="sub_102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25. Центр занятости населения в день согласования с работодателями кандидатуры гражданина на проведение переговоров о трудоустройстве по предложениям (вариантам) временного трудоустройства, включенных в перечень предложений (вариантов) временного трудоустройства, направляет гражданину с использованием единой цифровой платформы: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2"/>
      <w:bookmarkStart w:id="73" w:name="sub_125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а) перечень предложений (вариантов) временного трудоустройства, содержащий не более 2 предложений (вариантов), по которым с работодателями согласована кандидатура гражданина на проведение переговоров о трудоустройстве;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3"/>
      <w:bookmarkStart w:id="74" w:name="sub_125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б) уведомление о проведении переговоров (не более 2 уведомлений одновременно);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4"/>
      <w:bookmarkStart w:id="75" w:name="sub_125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в) уведомление, содержащее информацию для гражданина о необходимости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уведомлением о проведении переговоров с использованием единой цифровой платформы: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5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осуществить выбор предложений (вариантов) временного трудоустройства путем формирования отклика на вакансии работодателей по выбранным предложениям (вариантам) временного трудоустройства, согласовать с работодателем дату и время проведения переговоров о трудоустройстве;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76" w:name="sub_1253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предоставить информацию о результатах проведенных переговоров с работодателями по выбранным предложениям (вариантам) временного трудоустройства;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предоставить информацию об отказе от предложений (вариантов) временного трудоустройства (в случае отказа гражданина);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о правовых последствиях в случае непредоставления гражданином без уважительных причин</w:t>
      </w:r>
      <w:r>
        <w:rPr>
          <w:rStyle w:val="Style_65552"/>
          <w:rFonts w:ascii="Times New Roman CYR" w:hAnsi="Times New Roman CYR" w:eastAsia="Times New Roman CYR" w:cs="Times New Roman CYR"/>
          <w:sz w:val="24"/>
          <w:vertAlign w:val="superscript"/>
        </w:rPr>
        <w:t xml:space="preserve">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  <w:vertAlign w:val="superscript"/>
          </w:rPr>
          <w:t xml:space="preserve">7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 и в случае отказа от предложений (вариантов) временного трудоустройства (в том числе в случае если работы временного характера считаются подходящими для гражданина в соответствии с </w:t>
      </w:r>
      <w:hyperlink r:id="rId19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частью 4 статьи 27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Федерального закона "О занятости населения в Российской Федерации").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77" w:name="sub_1026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26. В случае отказа гражданина от предложений (вариантов) временного трудоустройства или непредоставления без уважительных причин</w:t>
      </w:r>
      <w:r>
        <w:rPr>
          <w:rStyle w:val="Style_65552"/>
          <w:rFonts w:ascii="Times New Roman CYR" w:hAnsi="Times New Roman CYR" w:eastAsia="Times New Roman CYR" w:cs="Times New Roman CYR"/>
          <w:sz w:val="24"/>
          <w:vertAlign w:val="superscript"/>
        </w:rPr>
        <w:t xml:space="preserve">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  <w:vertAlign w:val="superscript"/>
          </w:rPr>
          <w:t xml:space="preserve">8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информации о результатах проведенных переговоров с работодателями по 2 предложениям (вариантам) временного трудоустройства в электронной форме с использованием единой цифровой платформы в течение 3 рабочих дней со дня направления центром занятости населения перечня предложений (вариантов) временного трудоустройства вместе с уведомлениями о проведении переговоров, центр занятости населения фиксирует указанную информацию на единой цифровой платформе.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7"/>
      <w:bookmarkStart w:id="78" w:name="sub_1027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27. Центр занятости населения в день направления гражданину перечня предложений (вариантов) временного трудоустройства вместе с уведомлениями о проведении переговоров направляет работодателю с использованием единой цифровой платформы уведомление о необходимости направить в центр занятости населения информацию о результатах переговоров с гражданином о трудоустройстве в соответствии с </w:t>
      </w:r>
      <w:hyperlink r:id="rId20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частью 11 статьи 53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Федерального закона "О занятости населения в Российской Федерации".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8"/>
      <w:bookmarkStart w:id="79" w:name="sub_1028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28. Не позднее 1 рабочего дня после истечения 3 рабочих дней со дня направления гражданину перечня предложений (вариантов) временного трудоустройства вместе с уведомлениями о переговорах, центр занятости населения фиксирует на единой цифровой платформе следующую информацию: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79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гражданин не сформировал отклик на вакансии работодателей по выбранным предложениям (вариантам) временного трудоустройства;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гражданин не направил в центр занятости населения информацию о дне и о результатах проведения переговоров по выбранным предложениям (вариантам) временного трудоустройства;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гражданин отказался от предложения (варианта) временного трудоустройства или от проведения переговоров на временное трудоустройство.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80" w:name="sub_1029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29. В случае если по результатам прохождения переговоров гражданину отказано в трудоустройстве, осуществляются повторно процедуры (действия), указанные в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подпунктах "а" - "г" пункта 22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настоящего Стандарта.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0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Центр занятости населения повторно осуществляет подбор предложений (вариантов) временного трудоустройства в течение 1 рабочего дня со дня поступления на единую цифровую платформу информации о дне и о результатах проведения переговоров с работодателем по выбранным предложениям (вариантам) временного трудоустройства.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81" w:name="sub_1030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30. В случае временного трудоустройства гражданина работодатель заключает с ним срочный трудовой договор.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1"/>
      <w:bookmarkStart w:id="82" w:name="sub_1031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31. Центр занятости населения проверяет сведения о временном трудоустройстве гражданина в порядке межведомственного взаимодействия, в том числе с использованием единой системы межведомственного электронного взаимодействия.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2"/>
      <w:bookmarkStart w:id="83" w:name="sub_1032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32. При направлении гражданина на временное трудоустройство такому гражданину предоставляется финансовая поддержка. Порядок предоставления финансовой поддержки гражданам, а также размер указанной финансовой поддержки устанавливается органами государственной власти субъекта Российской Федерации</w:t>
      </w:r>
      <w:r>
        <w:rPr>
          <w:rStyle w:val="Style_65552"/>
          <w:rFonts w:ascii="Times New Roman CYR" w:hAnsi="Times New Roman CYR" w:eastAsia="Times New Roman CYR" w:cs="Times New Roman CYR"/>
          <w:sz w:val="24"/>
          <w:vertAlign w:val="superscript"/>
        </w:rPr>
        <w:t xml:space="preserve">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  <w:vertAlign w:val="superscript"/>
          </w:rPr>
          <w:t xml:space="preserve">9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3"/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bookmarkStart w:id="84" w:name="sub_1400"/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IV. Показатели исполнения Стандарта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4"/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85" w:name="sub_1033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33. Показатели исполнения настоящего Стандарта, сведения, необходимые для расчета показателей, методика оценки (расчета) показателей предусмотрены в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приложении</w:t>
        </w:r>
      </w:hyperlink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 к настоящему Стандарту.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5"/>
      <w:bookmarkStart w:id="86" w:name="sub_1034"/>
      <w:r>
        <w:rPr>
          <w:rStyle w:val="Style_65552"/>
          <w:rFonts w:ascii="Times New Roman CYR" w:hAnsi="Times New Roman CYR" w:eastAsia="Times New Roman CYR" w:cs="Times New Roman CYR"/>
          <w:sz w:val="24"/>
        </w:rPr>
        <w:t xml:space="preserve">34. Расчет показателей осуществляется на единой цифровой платформе, на основании сведений, вносимых центром занятости населения при выполнении процедур (действий), предусмотренных настоящим Стандартом.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86"/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r>
        <w:rPr>
          <w:rFonts w:ascii="Courier New" w:hAnsi="Courier New" w:eastAsia="Courier New" w:cs="Courier New"/>
          <w:sz w:val="22"/>
        </w:rPr>
        <w:t xml:space="preserve">──────────────────────────────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Start w:id="87" w:name="sub_1111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1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hyperlink r:id="rId21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Часть 1 статьи 17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Федерального закона от 12 декабря 2023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565-ФЗ "О занятости населения в Российской Федерации" (далее - Федеральный закон "О занятости населения в Российской Федерации").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87"/>
      <w:bookmarkStart w:id="88" w:name="sub_1112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2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hyperlink r:id="rId22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Приказ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Министерства труда и социальной защиты Российской Федерации от 19 августа 2024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406н "Об утверждении порядка формирования индивидуального плана содействия занятости и согласования его с гражданином, в том числе в случае внесения в этот план изменений в соответствии с частью 12 статьи 26 Федерального закона от 12 декабря 2023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565-ФЗ "О занятости населения в Российской Федерации", требований к его структуре и содержанию, а также порядка и критериев его выполнения гражданином, перечня документов, подтверждающих наличие уважительных причин неявки гражданина в орган службы занятости, в том числе для формирования и согласования индивидуального плана содействия занятости и документов, подтверждающих наличие уважительных причин невыполнения безработным гражданином индивидуального плана содействия занятости" (зарегистрирован Министерством юстиции Российской Федерации 30 августа 2024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г., регистрационный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79335) (далее - приказ Минтруда России от 19 августа 2024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406н).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88"/>
      <w:bookmarkStart w:id="89" w:name="sub_1113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3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hyperlink r:id="rId23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Часть 1 статьи 25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Федерального закона "О занятости населения в Российской Федерации".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89"/>
      <w:bookmarkStart w:id="90" w:name="sub_1114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4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hyperlink r:id="rId24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Приказ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Минтруда России от 19 августа 2024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406н.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90"/>
      <w:bookmarkStart w:id="91" w:name="sub_1115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5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hyperlink r:id="rId25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Приказ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Минтруда России от 19 августа 2024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406н.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91"/>
      <w:bookmarkStart w:id="92" w:name="sub_1116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6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hyperlink r:id="rId26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Часть 1 статьи 53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Федерального закона "О занятости населения в Российской Федерации".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92"/>
      <w:bookmarkStart w:id="93" w:name="sub_1117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7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hyperlink r:id="rId27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Приказ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Минтруда России от 19 августа 2024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406н.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93"/>
      <w:bookmarkStart w:id="94" w:name="sub_1118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8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hyperlink r:id="rId28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Приказ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Минтруда России от 19 августа 2024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г. N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r>
        <w:rPr>
          <w:rFonts w:ascii="Times New Roman CYR" w:hAnsi="Times New Roman CYR" w:eastAsia="Times New Roman CYR" w:cs="Times New Roman CYR"/>
          <w:sz w:val="20"/>
        </w:rPr>
        <w:t xml:space="preserve">406н.</w:t>
      </w:r>
    </w:p>
    <w:p>
      <w:pPr>
        <w:pStyle w:val="Style_107"/>
        <w:spacing w:before="0" w:after="0" w:line="240" w:lineRule="auto"/>
        <w:ind w:firstLine="720"/>
        <w:jc w:val="both"/>
        <w:rPr>
          <w:rFonts w:ascii="Times New Roman CYR" w:hAnsi="Times New Roman CYR" w:eastAsia="Times New Roman CYR" w:cs="Times New Roman CYR"/>
          <w:sz w:val="20"/>
        </w:rPr>
      </w:pPr>
      <w:bookmarkEnd w:id="94"/>
      <w:bookmarkStart w:id="95" w:name="sub_1119"/>
      <w:r>
        <w:rPr>
          <w:rFonts w:ascii="Times New Roman CYR" w:hAnsi="Times New Roman CYR" w:eastAsia="Times New Roman CYR" w:cs="Times New Roman CYR"/>
          <w:sz w:val="20"/>
          <w:vertAlign w:val="superscript"/>
        </w:rPr>
        <w:t xml:space="preserve">9</w:t>
      </w:r>
      <w:r>
        <w:rPr>
          <w:rFonts w:ascii="Times New Roman CYR" w:hAnsi="Times New Roman CYR" w:eastAsia="Times New Roman CYR" w:cs="Times New Roman CYR"/>
          <w:sz w:val="20"/>
        </w:rPr>
        <w:t xml:space="preserve"> </w:t>
      </w:r>
      <w:hyperlink r:id="rId29"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0"/>
          </w:rPr>
          <w:t xml:space="preserve">Часть 6 статьи 28</w:t>
        </w:r>
      </w:hyperlink>
      <w:r>
        <w:rPr>
          <w:rFonts w:ascii="Times New Roman CYR" w:hAnsi="Times New Roman CYR" w:eastAsia="Times New Roman CYR" w:cs="Times New Roman CYR"/>
          <w:sz w:val="20"/>
        </w:rPr>
        <w:t xml:space="preserve"> Федерального закона "О занятости населения в Российской Федерации".</w:t>
      </w:r>
    </w:p>
    <w:p>
      <w:pPr>
        <w:pStyle w:val="Style_18"/>
        <w:spacing w:before="0" w:after="0" w:line="240" w:lineRule="auto"/>
        <w:ind w:firstLine="0"/>
        <w:rPr>
          <w:rFonts w:ascii="Courier New" w:hAnsi="Courier New" w:eastAsia="Courier New" w:cs="Courier New"/>
          <w:sz w:val="22"/>
        </w:rPr>
      </w:pPr>
      <w:bookmarkEnd w:id="95"/>
      <w:r>
        <w:rPr>
          <w:rFonts w:ascii="Courier New" w:hAnsi="Courier New" w:eastAsia="Courier New" w:cs="Courier New"/>
          <w:sz w:val="22"/>
        </w:rPr>
        <w:t xml:space="preserve">──────────────────────────────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Start w:id="96" w:name="sub_11000"/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Приложение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к </w:t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Стандарту</w:t>
        </w:r>
      </w:hyperlink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деятельности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по осуществлению полномочия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в сфере занятости населения по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организации временного трудоустройства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безработных граждан, испытывающих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трудности в поиске работы, утвержденному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hyperlink>
        <w:r>
          <w:rPr>
            <w:rStyle w:val="Style_24"/>
            <w:rFonts w:ascii="Times New Roman CYR" w:hAnsi="Times New Roman CYR" w:eastAsia="Times New Roman CYR" w:cs="Times New Roman CYR"/>
            <w:b w:val="0"/>
            <w:color w:val="106bbe"/>
            <w:sz w:val="24"/>
          </w:rPr>
          <w:t xml:space="preserve">приказом</w:t>
        </w:r>
      </w:hyperlink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Министерства труда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и социальной защиты Российской Федерации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от 10 декабря 2024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г. N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 </w:t>
      </w: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683н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  <w:bookmarkEnd w:id="96"/>
    </w:p>
    <w:p>
      <w:pPr>
        <w:spacing w:before="0" w:after="0" w:line="240" w:lineRule="auto"/>
        <w:ind w:firstLine="698"/>
        <w:jc w:val="right"/>
        <w:rPr>
          <w:rStyle w:val="Style_65552"/>
          <w:rFonts w:ascii="Times New Roman CYR" w:hAnsi="Times New Roman CYR" w:eastAsia="Times New Roman CYR" w:cs="Times New Roman CYR"/>
          <w:sz w:val="24"/>
        </w:rPr>
      </w:pPr>
      <w:r>
        <w:rPr>
          <w:rStyle w:val="Style_26"/>
          <w:rFonts w:ascii="Times New Roman CYR" w:hAnsi="Times New Roman CYR" w:eastAsia="Times New Roman CYR" w:cs="Times New Roman CYR"/>
          <w:b/>
          <w:color w:val="26282f"/>
          <w:sz w:val="24"/>
        </w:rPr>
        <w:t xml:space="preserve">Таблица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p>
      <w:pPr>
        <w:pStyle w:val="Style_1"/>
        <w:spacing w:before="108" w:after="108" w:line="240" w:lineRule="auto"/>
        <w:jc w:val="center"/>
        <w:rPr>
          <w:rFonts w:ascii="Times New Roman CYR" w:hAnsi="Times New Roman CYR" w:eastAsia="Times New Roman CYR" w:cs="Times New Roman CYR"/>
          <w:b/>
          <w:color w:val="26282f"/>
          <w:sz w:val="24"/>
        </w:rPr>
      </w:pP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Показатели</w:t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br/>
      </w:r>
      <w:r>
        <w:rPr>
          <w:rFonts w:ascii="Times New Roman CYR" w:hAnsi="Times New Roman CYR" w:eastAsia="Times New Roman CYR" w:cs="Times New Roman CYR"/>
          <w:b/>
          <w:color w:val="26282f"/>
          <w:sz w:val="24"/>
        </w:rPr>
        <w:t xml:space="preserve">исполнения Стандарта деятельности по осуществлению полномочия в сфере занятости населения по организации временного трудоустройства безработных граждан, испытывающих трудности в поиске работы, сведения, необходимые для расчета показателей, методика оценки (расчета) показателей</w:t>
      </w:r>
    </w:p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740"/>
        <w:gridCol w:w="2080"/>
        <w:gridCol w:w="1630"/>
        <w:gridCol w:w="3000"/>
        <w:gridCol w:w="2850"/>
      </w:tblGrid>
      <w:tr>
        <w:tc>
          <w:tcPr>
            <w:tcW w:w="7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N</w:t>
            </w:r>
          </w:p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п/п</w:t>
            </w:r>
          </w:p>
        </w:tc>
        <w:tc>
          <w:tcPr>
            <w:tcW w:w="2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Наименование показателя</w:t>
            </w:r>
          </w:p>
        </w:tc>
        <w:tc>
          <w:tcPr>
            <w:tcW w:w="16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Единица измерения</w:t>
            </w:r>
          </w:p>
        </w:tc>
        <w:tc>
          <w:tcPr>
            <w:tcW w:w="30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Источники сведений,</w:t>
            </w:r>
          </w:p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необходимых для оценки</w:t>
            </w:r>
          </w:p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(расчета) показателей</w:t>
            </w:r>
          </w:p>
        </w:tc>
        <w:tc>
          <w:tcPr>
            <w:tcW w:w="2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Методика оценки (расчета) показателей</w:t>
            </w:r>
          </w:p>
        </w:tc>
      </w:tr>
      <w:tr>
        <w:tc>
          <w:tcPr>
            <w:tcW w:w="7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bookmarkStart w:id="97" w:name="sub_11001"/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1.</w:t>
            </w:r>
            <w:bookmarkEnd w:id="97"/>
          </w:p>
        </w:tc>
        <w:tc>
          <w:tcPr>
            <w:tcW w:w="2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Доля граждан, у которых срок на временное трудоустройство не превысил среднее значение по Российской Федерации</w:t>
            </w:r>
          </w:p>
        </w:tc>
        <w:tc>
          <w:tcPr>
            <w:tcW w:w="16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Процент</w:t>
            </w:r>
          </w:p>
        </w:tc>
        <w:tc>
          <w:tcPr>
            <w:tcW w:w="30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Сведения, формируемые на единой цифровой платформе: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1. Дата приема на временную работу (по всем гражданам).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2. Дата принятия обращения безработного гражданина (по всем гражданам).</w:t>
            </w:r>
          </w:p>
        </w:tc>
        <w:tc>
          <w:tcPr>
            <w:tcW w:w="2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1. По всем гражданам вычисляется срок на временное трудоустройство (разница между датами приема на временную работу и принятия обращения безработного гражданина) по Российской Федерации в отчетном периоде.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bookmarkStart w:id="98" w:name="sub_11012"/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2. Вычисляется среднее значение по срокам на временное трудоустройство граждан по Российской Федерации в отчетном периоде.</w:t>
            </w:r>
            <w:bookmarkEnd w:id="98"/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bookmarkStart w:id="99" w:name="sub_11013"/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3. Исходя из дат приема на временную работу, вычисляется общее количество граждан, трудоустроенных на временную работу в отчетном периоде.</w:t>
            </w:r>
            <w:bookmarkEnd w:id="99"/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bookmarkStart w:id="100" w:name="sub_11014"/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4. Из числа граждан, указанных в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пункте 3</w:t>
              </w:r>
            </w:hyperlink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, вычисляется количество граждан, у которых срок на временное трудоустройство не превысил значение, рассчитанное в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пункте 2</w:t>
              </w:r>
            </w:hyperlink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.</w:t>
            </w:r>
            <w:bookmarkEnd w:id="100"/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bookmarkStart w:id="101" w:name="sub_11015"/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5. Вычисляется отношение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пункта 4</w:t>
              </w:r>
            </w:hyperlink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 к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пункту 3</w:t>
              </w:r>
            </w:hyperlink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 и умножается на 100.</w:t>
            </w:r>
            <w:bookmarkEnd w:id="101"/>
          </w:p>
        </w:tc>
      </w:tr>
      <w:tr>
        <w:tc>
          <w:tcPr>
            <w:tcW w:w="7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bookmarkStart w:id="102" w:name="sub_11002"/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2.</w:t>
            </w:r>
            <w:bookmarkEnd w:id="102"/>
          </w:p>
        </w:tc>
        <w:tc>
          <w:tcPr>
            <w:tcW w:w="2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Доля направленных предложений (вариантов) временного трудоустройства, по которым состоялись переговоры</w:t>
            </w:r>
          </w:p>
        </w:tc>
        <w:tc>
          <w:tcPr>
            <w:tcW w:w="16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Процент</w:t>
            </w:r>
          </w:p>
        </w:tc>
        <w:tc>
          <w:tcPr>
            <w:tcW w:w="30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1. Дата направления предложений (вариантов) временного трудоустройства с количеством направленных предложений (вариантов) (по всем гражданам).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2. Дата направления информации о результатах переговоров с работодателем с количеством пройденных переговоров (по всем гражданам).</w:t>
            </w:r>
          </w:p>
        </w:tc>
        <w:tc>
          <w:tcPr>
            <w:tcW w:w="2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1. Исходя из дат направления предложений (вариантов) временного трудоустройства (с количеством направленных гражданам предложений (вариантов) вычисляется общее число направленных гражданам предложений (вариантов) временного трудоустройства в отчетном периоде.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  <w:bookmarkStart w:id="103" w:name="sub_11022"/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2. Исходя из дат направления информации о результатах переговоров с работодателем (с количеством пройденных переговоров) вычисляется общее количество пройденных гражданами переговоров в отчетном периоде.</w:t>
            </w:r>
            <w:bookmarkEnd w:id="103"/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  <w:bookmarkStart w:id="104" w:name="sub_11023"/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3. Вычисляется соотношение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</w:rPr>
                <w:t xml:space="preserve">пункта 2</w:t>
              </w:r>
            </w:hyperlink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 к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</w:rPr>
                <w:t xml:space="preserve">пункту 1</w:t>
              </w:r>
            </w:hyperlink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 и умножается на 100.</w:t>
            </w:r>
            <w:bookmarkEnd w:id="104"/>
          </w:p>
        </w:tc>
      </w:tr>
      <w:tr>
        <w:tc>
          <w:tcPr>
            <w:tcW w:w="7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bookmarkStart w:id="105" w:name="sub_11003"/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3.</w:t>
            </w:r>
            <w:bookmarkEnd w:id="105"/>
          </w:p>
        </w:tc>
        <w:tc>
          <w:tcPr>
            <w:tcW w:w="2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Доля граждан, трудоустроенных на временные работы, из числа тех, у которых мера поддержки включена в индивидуальный план</w:t>
            </w:r>
          </w:p>
        </w:tc>
        <w:tc>
          <w:tcPr>
            <w:tcW w:w="16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Процент</w:t>
            </w:r>
          </w:p>
        </w:tc>
        <w:tc>
          <w:tcPr>
            <w:tcW w:w="30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1. Дата включения меры поддержки в индивидуальный план (по всем гражданам);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2. Дата подтверждения сведений о временном трудоустройстве гражданина (по всем гражданам).</w:t>
            </w:r>
          </w:p>
        </w:tc>
        <w:tc>
          <w:tcPr>
            <w:tcW w:w="2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1. Исходя из даты включения меры поддержки в индивидуальный план вычисляется общая численность граждан, которым мера поддержки включена в индивидуальный план в отчетном периоде.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  <w:bookmarkStart w:id="106" w:name="sub_11032"/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2. Исходя из даты трудоустройства на временные работы вычисляется общая численность граждан, трудоустроенных на временные работы в отчетном периоде.</w:t>
            </w:r>
            <w:bookmarkEnd w:id="106"/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Fonts w:ascii="Times New Roman CYR" w:hAnsi="Times New Roman CYR" w:eastAsia="Times New Roman CYR" w:cs="Times New Roman CYR"/>
                <w:sz w:val="24"/>
              </w:rPr>
            </w:pPr>
            <w:bookmarkStart w:id="107" w:name="sub_11033"/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3. Вычисляется отношение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</w:rPr>
                <w:t xml:space="preserve">пункта 2</w:t>
              </w:r>
            </w:hyperlink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 к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</w:rPr>
                <w:t xml:space="preserve">пункту 1</w:t>
              </w:r>
            </w:hyperlink>
            <w:r>
              <w:rPr>
                <w:rFonts w:ascii="Times New Roman CYR" w:hAnsi="Times New Roman CYR" w:eastAsia="Times New Roman CYR" w:cs="Times New Roman CYR"/>
                <w:sz w:val="24"/>
              </w:rPr>
              <w:t xml:space="preserve"> и умножается на 100.</w:t>
            </w:r>
            <w:bookmarkEnd w:id="107"/>
          </w:p>
        </w:tc>
      </w:tr>
      <w:tr>
        <w:tc>
          <w:tcPr>
            <w:tcW w:w="7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bookmarkStart w:id="108" w:name="sub_11004"/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4.</w:t>
            </w:r>
            <w:bookmarkEnd w:id="108"/>
          </w:p>
        </w:tc>
        <w:tc>
          <w:tcPr>
            <w:tcW w:w="2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Доля процедур (действий), выполненных центром занятости населения при предоставлении меры поддержки, с нарушением установленных сроков</w:t>
            </w:r>
          </w:p>
        </w:tc>
        <w:tc>
          <w:tcPr>
            <w:tcW w:w="163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center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Процент</w:t>
            </w:r>
          </w:p>
        </w:tc>
        <w:tc>
          <w:tcPr>
            <w:tcW w:w="30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Сведения, формируемые автоматически на единой цифровой платформе: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1. Установленный срок выполнения процедуры (действия) на единой цифровой платформе при предоставлении меры поддержки.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2. Фактический срок выполнения процедуры (действия) на единой цифровой платформе при предоставлении меры поддержки.</w:t>
            </w:r>
          </w:p>
        </w:tc>
        <w:tc>
          <w:tcPr>
            <w:tcW w:w="285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1. Исходя из установленного срока выполнения процедуры (действия) вычисляется общее количество процедур (действий) при предоставлении меры поддержки, срок выполнения которых истек в отчетном периоде.</w:t>
            </w:r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bookmarkStart w:id="109" w:name="sub_11042"/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2. Из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пункта 1</w:t>
              </w:r>
            </w:hyperlink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 вычисляется количество процедур (действий), которые были выполнены с нарушением установленных сроков их выполнения (фактический срок выполнения процедуры (действия) превышает плановый срок выполнения процедуры (действия).</w:t>
            </w:r>
            <w:bookmarkEnd w:id="109"/>
          </w:p>
          <w:p>
            <w:pPr>
              <w:pStyle w:val="Style_33"/>
              <w:spacing w:before="0" w:after="0" w:line="240" w:lineRule="auto"/>
              <w:ind w:firstLine="0"/>
              <w:jc w:val="both"/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</w:pPr>
            <w:bookmarkStart w:id="110" w:name="sub_11043"/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</w:rPr>
              <w:t xml:space="preserve"> </w:t>
            </w:r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3. Вычисляется соотношение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пункта 2</w:t>
              </w:r>
            </w:hyperlink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 к </w:t>
            </w:r>
            <w:hyperlink>
              <w:r>
                <w:rPr>
                  <w:rStyle w:val="Style_24"/>
                  <w:rFonts w:ascii="Times New Roman CYR" w:hAnsi="Times New Roman CYR" w:eastAsia="Times New Roman CYR" w:cs="Times New Roman CYR"/>
                  <w:b w:val="0"/>
                  <w:color w:val="106bbe"/>
                  <w:sz w:val="24"/>
                  <w:shd w:val="clear" w:color="auto" w:fill="d8ede8"/>
                </w:rPr>
                <w:t xml:space="preserve">пункту 1</w:t>
              </w:r>
            </w:hyperlink>
            <w:r>
              <w:rPr>
                <w:rStyle w:val="Style_41"/>
                <w:rFonts w:ascii="Times New Roman CYR" w:hAnsi="Times New Roman CYR" w:eastAsia="Times New Roman CYR" w:cs="Times New Roman CYR"/>
                <w:b w:val="0"/>
                <w:color w:val="000000"/>
                <w:sz w:val="24"/>
                <w:shd w:val="clear" w:color="auto" w:fill="d8ede8"/>
              </w:rPr>
              <w:t xml:space="preserve"> и умножается на 100.</w:t>
            </w:r>
            <w:bookmarkEnd w:id="110"/>
          </w:p>
        </w:tc>
      </w:tr>
    </w:tbl>
    <w:p>
      <w:pPr>
        <w:spacing w:before="0" w:after="0" w:line="240" w:lineRule="auto"/>
        <w:ind w:firstLine="720"/>
        <w:jc w:val="both"/>
        <w:rPr>
          <w:rStyle w:val="Style_65552"/>
          <w:rFonts w:ascii="Times New Roman CYR" w:hAnsi="Times New Roman CYR" w:eastAsia="Times New Roman CYR" w:cs="Times New Roman CYR"/>
          <w:sz w:val="24"/>
        </w:rPr>
      </w:pPr>
    </w:p>
    <w:sectPr>
      <w:headerReference w:type="default" r:id="rId9"/>
      <w:footerReference w:type="default" r:id="rId10"/>
      <w:type w:val="nextPage"/>
      <w:pgSz w:w="11900" w:h="16800"/>
      <w:pgMar w:top="1440" w:right="800" w:bottom="1440" w:left="800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separator/>
      </w:r>
    </w:p>
  </w:endnote>
  <w:endnote w:type="continuationSeparator" w:id="1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ourier New">
    <w:panose1 w:val="02070309020205020404"/>
  </w:font>
  <w:font w:name="Times New Roman CYR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433"/>
      <w:gridCol w:w="3433"/>
      <w:gridCol w:w="3433"/>
    </w:tblGrid>
    <w:tr>
      <w:tc>
        <w:tcPr>
          <w:tcW w:w="3433" w:type="dxa"/>
          <w:shd w:val="nil"/>
          <w:textDirection w:val="lrTb"/>
          <w:vAlign w:val="top"/>
        </w:tcPr>
        <w:p>
          <w:pPr>
            <w:pStyle w:val="Style_65554"/>
            <w:spacing w:before="0" w:after="0" w:line="240" w:lineRule="auto"/>
            <w:ind w:left="0" w:firstLine="0"/>
            <w:jc w:val="left"/>
            <w:rPr>
              <w:rFonts w:ascii="Times New Roman" w:hAnsi="Times New Roman" w:eastAsia="Times New Roman" w:cs="Times New Roman"/>
              <w:sz w:val="20"/>
            </w:rPr>
          </w:pPr>
          <w:r>
            <w:rPr>
              <w:rFonts w:ascii="Times New Roman" w:hAnsi="Times New Roman" w:eastAsia="Times New Roman" w:cs="Times New Roman"/>
              <w:sz w:val="20"/>
            </w:rPr>
            <w:fldChar w:fldCharType="begin"/>
          </w:r>
          <w:r>
            <w:rPr>
              <w:rFonts w:ascii="Times New Roman" w:hAnsi="Times New Roman" w:eastAsia="Times New Roman" w:cs="Times New Roman"/>
              <w:sz w:val="20"/>
            </w:rPr>
            <w:instrText xml:space="preserve">CREATEDATE  \@ "dd.MM.yyyy"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  <w:sz w:val="20"/>
            </w:rPr>
            <w:t xml:space="preserve">24.02.2025</w:t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 w:val="20"/>
            </w:rPr>
            <w:t xml:space="preserve"> </w:t>
          </w:r>
        </w:p>
      </w:tc>
      <w:tc>
        <w:tcPr>
          <w:tcW w:w="3433" w:type="dxa"/>
          <w:shd w:val="nil"/>
          <w:textDirection w:val="lrTb"/>
          <w:vAlign w:val="top"/>
        </w:tcPr>
        <w:p>
          <w:pPr>
            <w:pStyle w:val="Style_65554"/>
            <w:spacing w:before="0" w:after="0" w:line="240" w:lineRule="auto"/>
            <w:ind w:left="0" w:firstLine="0"/>
            <w:jc w:val="center"/>
            <w:rPr>
              <w:rFonts w:ascii="Times New Roman" w:hAnsi="Times New Roman" w:eastAsia="Times New Roman" w:cs="Times New Roman"/>
              <w:sz w:val="20"/>
            </w:rPr>
          </w:pPr>
          <w:r>
            <w:rPr>
              <w:rFonts w:ascii="Times New Roman" w:hAnsi="Times New Roman" w:eastAsia="Times New Roman" w:cs="Times New Roman"/>
              <w:sz w:val="20"/>
            </w:rPr>
            <w:t xml:space="preserve">Система ГАРАНТ</w:t>
          </w:r>
        </w:p>
      </w:tc>
      <w:tc>
        <w:tcPr>
          <w:tcW w:w="3433" w:type="dxa"/>
          <w:shd w:val="nil"/>
          <w:textDirection w:val="lrTb"/>
          <w:vAlign w:val="top"/>
        </w:tcPr>
        <w:p>
          <w:pPr>
            <w:pStyle w:val="Style_65554"/>
            <w:spacing w:before="0" w:after="0" w:line="240" w:lineRule="auto"/>
            <w:ind w:left="0" w:firstLine="0"/>
            <w:jc w:val="right"/>
            <w:rPr>
              <w:rFonts w:ascii="Times New Roman" w:hAnsi="Times New Roman" w:eastAsia="Times New Roman" w:cs="Times New Roman"/>
              <w:sz w:val="20"/>
            </w:rPr>
          </w:pPr>
          <w:r>
            <w:rPr>
              <w:rFonts w:ascii="Arial" w:hAnsi="Arial" w:eastAsia="Arial" w:cs="Arial"/>
            </w:rPr>
            <w:fldChar w:fldCharType="begin"/>
          </w:r>
          <w:r>
            <w:rPr>
              <w:rFonts w:ascii="Arial" w:hAnsi="Arial" w:eastAsia="Arial" w:cs="Arial"/>
            </w:rPr>
            <w:instrText xml:space="preserve">PAGE  \* MERGEFORMAT </w:instrText>
          </w:r>
          <w:r>
            <w:fldChar w:fldCharType="separate"/>
          </w:r>
          <w:r>
            <w:rPr>
              <w:rFonts w:ascii="Arial" w:hAnsi="Arial" w:eastAsia="Arial" w:cs="Arial"/>
            </w:rPr>
          </w:r>
          <w:r>
            <w:fldChar w:fldCharType="end"/>
          </w:r>
          <w:r>
            <w:rPr>
              <w:rFonts w:ascii="Times New Roman" w:hAnsi="Times New Roman" w:eastAsia="Times New Roman" w:cs="Times New Roman"/>
              <w:sz w:val="20"/>
            </w:rPr>
            <w:t xml:space="preserve">/</w:t>
          </w:r>
          <w:r>
            <w:rPr>
              <w:rFonts w:ascii="Arial" w:hAnsi="Arial" w:eastAsia="Arial" w:cs="Arial"/>
            </w:rPr>
            <w:fldChar w:fldCharType="begin"/>
          </w:r>
          <w:r>
            <w:rPr>
              <w:rFonts w:ascii="Arial" w:hAnsi="Arial" w:eastAsia="Arial" w:cs="Arial"/>
            </w:rPr>
            <w:instrText xml:space="preserve">NUMPAGES  \* Arabic  \* MERGEFORMAT </w:instrText>
          </w:r>
          <w:r>
            <w:fldChar w:fldCharType="separate"/>
          </w:r>
          <w:r>
            <w:rPr>
              <w:rFonts w:ascii="Arial" w:hAnsi="Arial" w:eastAsia="Arial" w:cs="Arial"/>
            </w:rPr>
          </w:r>
          <w:r>
            <w:fldChar w:fldCharType="end"/>
          </w:r>
        </w:p>
      </w:tc>
    </w:tr>
  </w:tbl>
  <w:p>
    <w:pPr>
      <w:jc w:val="left"/>
      <w:rPr>
        <w:rFonts w:ascii="Arial" w:hAnsi="Arial" w:eastAsia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separator/>
      </w:r>
    </w:p>
  </w:footnote>
  <w:footnote w:type="continuationSeparator" w:id="1">
    <w:p>
      <w:pPr>
        <w:jc w:val="left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65553"/>
      <w:spacing w:before="0" w:after="0" w:line="240" w:lineRule="auto"/>
      <w:ind w:left="0" w:firstLine="0"/>
      <w:jc w:val="left"/>
      <w:rPr>
        <w:rFonts w:ascii="Times New Roman" w:hAnsi="Times New Roman" w:eastAsia="Times New Roman" w:cs="Times New Roman"/>
        <w:sz w:val="20"/>
      </w:rPr>
    </w:pPr>
    <w:r>
      <w:rPr>
        <w:rFonts w:ascii="Times New Roman" w:hAnsi="Times New Roman" w:eastAsia="Times New Roman" w:cs="Times New Roman"/>
        <w:sz w:val="20"/>
      </w:rPr>
      <w:t xml:space="preserve">Приказ Министерства труда и социальной защиты Российской Федерации от 10 декабря 2024 г. N 683н "Об…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9274983">
    <w:multiLevelType w:val="hybrid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Arial" w:hAnsi="Arial" w:eastAsia="Arial" w:cs="Arial"/>
      </w:rPr>
    </w:lvl>
  </w:abstractNum>
  <w:num w:numId="1">
    <w:abstractNumId w:val="1859274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1"/>
    <w:footnote w:id="0"/>
  </w:footnotePr>
  <w:endnotePr>
    <w:endnote w:id="1"/>
    <w:endnote w:id="0"/>
  </w:endnotePr>
  <w:compat>
    <w:forgetLastTabAlignment w:val="true"/>
    <w:doNotUseHTMLParagraphAutoSpacing w:val="true"/>
    <w:compatSetting w:name="compatibilityMode" w:uri="http://schemas.microsoft.com/office/word" w:val="1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4"/>
      </w:rPr>
    </w:rPrDefault>
    <w:pPrDefault>
      <w:pPr>
        <w:spacing w:before="0" w:after="0" w:line="240" w:lineRule="auto"/>
        <w:jc w:val="left"/>
        <w:rPr>
          <w:rFonts w:ascii="Arial" w:hAnsi="Arial" w:eastAsia="Arial" w:cs="Arial"/>
        </w:rP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0" w:default="1">
    <w:name w:val="Normal"/>
    <w:pPr>
      <w:spacing w:before="0" w:after="0" w:line="240" w:lineRule="auto"/>
      <w:ind w:firstLine="720"/>
      <w:jc w:val="both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sz w:val="24"/>
    </w:rPr>
  </w:style>
  <w:style w:type="character" w:styleId="Style_26">
    <w:name w:val="Цветовое выделение"/>
    <w:basedOn w:val="Style_65552"/>
    <w:rPr>
      <w:rFonts w:ascii="Arial" w:hAnsi="Arial" w:eastAsia="Arial" w:cs="Arial"/>
      <w:b/>
      <w:color w:val="26282f"/>
      <w:sz w:val="24"/>
    </w:rPr>
  </w:style>
  <w:style w:type="character" w:styleId="Style_24">
    <w:name w:val="Гипертекстовая ссылка"/>
    <w:basedOn w:val="Style_26"/>
    <w:rPr>
      <w:rFonts w:ascii="Arial" w:hAnsi="Arial" w:eastAsia="Arial" w:cs="Arial"/>
      <w:b w:val="0"/>
      <w:color w:val="106bbe"/>
      <w:sz w:val="24"/>
    </w:rPr>
  </w:style>
  <w:style w:type="paragraph" w:styleId="Style_1">
    <w:name w:val="heading 1"/>
    <w:basedOn w:val="Style_0"/>
    <w:pPr>
      <w:spacing w:before="108" w:after="108" w:line="240" w:lineRule="auto"/>
      <w:jc w:val="center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b/>
      <w:color w:val="26282f"/>
      <w:sz w:val="24"/>
    </w:rPr>
  </w:style>
  <w:style w:type="character" w:styleId="Style_41">
    <w:name w:val="Не вступил в силу"/>
    <w:basedOn w:val="Style_26"/>
    <w:rPr>
      <w:rFonts w:ascii="Arial" w:hAnsi="Arial" w:eastAsia="Arial" w:cs="Arial"/>
      <w:b w:val="0"/>
      <w:color w:val="000000"/>
      <w:sz w:val="24"/>
    </w:rPr>
  </w:style>
  <w:style w:type="paragraph" w:styleId="Style_33">
    <w:name w:val="Нормальный (таблица)"/>
    <w:basedOn w:val="Style_0"/>
    <w:pPr>
      <w:spacing w:before="0" w:after="0" w:line="240" w:lineRule="auto"/>
      <w:jc w:val="both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sz w:val="24"/>
    </w:rPr>
  </w:style>
  <w:style w:type="paragraph" w:styleId="Style_18">
    <w:name w:val="Таблицы (моноширинный)"/>
    <w:basedOn w:val="Style_0"/>
    <w:pPr>
      <w:spacing w:before="0" w:after="0" w:line="240" w:lineRule="auto"/>
      <w:ind w:firstLine="0"/>
      <w:jc w:val="left"/>
      <w:rPr>
        <w:rFonts w:ascii="Arial" w:hAnsi="Arial" w:eastAsia="Arial" w:cs="Arial"/>
      </w:rPr>
    </w:pPr>
    <w:rPr>
      <w:rFonts w:ascii="Courier New" w:hAnsi="Courier New" w:eastAsia="Courier New" w:cs="Courier New"/>
      <w:sz w:val="24"/>
    </w:rPr>
  </w:style>
  <w:style w:type="paragraph" w:styleId="Style_32">
    <w:name w:val="Прижатый влево"/>
    <w:basedOn w:val="Style_0"/>
    <w:pPr>
      <w:spacing w:before="0" w:after="0" w:line="240" w:lineRule="auto"/>
      <w:ind w:firstLine="0"/>
      <w:jc w:val="left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sz w:val="24"/>
    </w:rPr>
  </w:style>
  <w:style w:type="paragraph" w:styleId="Style_107">
    <w:name w:val="Сноска"/>
    <w:basedOn w:val="Style_0"/>
    <w:pPr>
      <w:spacing w:before="0" w:after="0" w:line="240" w:lineRule="auto"/>
      <w:ind w:firstLine="720"/>
      <w:jc w:val="both"/>
      <w:rPr>
        <w:rFonts w:ascii="Arial" w:hAnsi="Arial" w:eastAsia="Arial" w:cs="Arial"/>
      </w:rPr>
    </w:pPr>
    <w:rPr>
      <w:rFonts w:ascii="Times New Roman CYR" w:hAnsi="Times New Roman CYR" w:eastAsia="Times New Roman CYR" w:cs="Times New Roman CYR"/>
      <w:sz w:val="20"/>
    </w:rPr>
  </w:style>
  <w:style w:type="character" w:styleId="Style_65552">
    <w:name w:val="Цветовое выделение для Текст"/>
    <w:basedOn w:val="Style_65552"/>
    <w:rPr>
      <w:rFonts w:ascii="Times New Roman CYR" w:hAnsi="Times New Roman CYR" w:eastAsia="Times New Roman CYR" w:cs="Times New Roman CYR"/>
      <w:sz w:val="24"/>
    </w:rPr>
  </w:style>
  <w:style w:type="paragraph" w:styleId="Style_65553">
    <w:name w:val="header"/>
    <w:basedOn w:val="Style_0"/>
    <w:pPr>
      <w:spacing w:before="0" w:after="0" w:line="240" w:lineRule="auto"/>
      <w:jc w:val="center"/>
      <w:rPr>
        <w:rFonts w:ascii="Arial" w:hAnsi="Arial" w:eastAsia="Arial" w:cs="Arial"/>
      </w:rPr>
    </w:pPr>
    <w:rPr>
      <w:rFonts w:ascii="Times New Roman" w:hAnsi="Times New Roman" w:eastAsia="Times New Roman" w:cs="Times New Roman"/>
      <w:sz w:val="20"/>
    </w:rPr>
  </w:style>
  <w:style w:type="paragraph" w:styleId="Style_65554">
    <w:name w:val="footer"/>
    <w:basedOn w:val="Style_0"/>
    <w:pPr>
      <w:spacing w:before="0" w:after="0" w:line="240" w:lineRule="auto"/>
      <w:jc w:val="left"/>
      <w:rPr>
        <w:rFonts w:ascii="Arial" w:hAnsi="Arial" w:eastAsia="Arial" w:cs="Arial"/>
      </w:rPr>
    </w:pPr>
    <w:rPr>
      <w:rFonts w:ascii="Times New Roman" w:hAnsi="Times New Roman" w:eastAsia="Times New Roman" w:cs="Times New Roman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internet.garant.ru/document/redirect/411505231/0" TargetMode="External"/><Relationship Id="rId12" Type="http://schemas.openxmlformats.org/officeDocument/2006/relationships/hyperlink" Target="https://internet.garant.ru/document/redirect/408175315/1602" TargetMode="External"/><Relationship Id="rId13" Type="http://schemas.openxmlformats.org/officeDocument/2006/relationships/hyperlink" Target="https://internet.garant.ru/document/redirect/70192438/15254" TargetMode="External"/><Relationship Id="rId14" Type="http://schemas.openxmlformats.org/officeDocument/2006/relationships/hyperlink" Target="https://internet.garant.ru/document/redirect/70192438/0" TargetMode="External"/><Relationship Id="rId15" Type="http://schemas.openxmlformats.org/officeDocument/2006/relationships/hyperlink" Target="https://internet.garant.ru/document/redirect/990941/267462393" TargetMode="External"/><Relationship Id="rId16" Type="http://schemas.openxmlformats.org/officeDocument/2006/relationships/hyperlink" Target="https://internet.garant.ru/document/redirect/408175315/26" TargetMode="External"/><Relationship Id="rId17" Type="http://schemas.openxmlformats.org/officeDocument/2006/relationships/hyperlink" Target="https://internet.garant.ru/document/redirect/408175315/21" TargetMode="External"/><Relationship Id="rId18" Type="http://schemas.openxmlformats.org/officeDocument/2006/relationships/hyperlink" Target="https://internet.garant.ru/document/redirect/12125268/5" TargetMode="External"/><Relationship Id="rId19" Type="http://schemas.openxmlformats.org/officeDocument/2006/relationships/hyperlink" Target="https://internet.garant.ru/document/redirect/408175315/2704" TargetMode="External"/><Relationship Id="rId20" Type="http://schemas.openxmlformats.org/officeDocument/2006/relationships/hyperlink" Target="https://internet.garant.ru/document/redirect/408175315/5311" TargetMode="External"/><Relationship Id="rId21" Type="http://schemas.openxmlformats.org/officeDocument/2006/relationships/hyperlink" Target="https://internet.garant.ru/document/redirect/408175315/1701" TargetMode="External"/><Relationship Id="rId22" Type="http://schemas.openxmlformats.org/officeDocument/2006/relationships/hyperlink" Target="https://internet.garant.ru/document/redirect/409602661/0" TargetMode="External"/><Relationship Id="rId23" Type="http://schemas.openxmlformats.org/officeDocument/2006/relationships/hyperlink" Target="https://internet.garant.ru/document/redirect/408175315/2501" TargetMode="External"/><Relationship Id="rId24" Type="http://schemas.openxmlformats.org/officeDocument/2006/relationships/hyperlink" Target="https://internet.garant.ru/document/redirect/409602661/0" TargetMode="External"/><Relationship Id="rId25" Type="http://schemas.openxmlformats.org/officeDocument/2006/relationships/hyperlink" Target="https://internet.garant.ru/document/redirect/409602661/0" TargetMode="External"/><Relationship Id="rId26" Type="http://schemas.openxmlformats.org/officeDocument/2006/relationships/hyperlink" Target="https://internet.garant.ru/document/redirect/408175315/5301" TargetMode="External"/><Relationship Id="rId27" Type="http://schemas.openxmlformats.org/officeDocument/2006/relationships/hyperlink" Target="https://internet.garant.ru/document/redirect/409602661/0" TargetMode="External"/><Relationship Id="rId28" Type="http://schemas.openxmlformats.org/officeDocument/2006/relationships/hyperlink" Target="https://internet.garant.ru/document/redirect/409602661/0" TargetMode="External"/><Relationship Id="rId29" Type="http://schemas.openxmlformats.org/officeDocument/2006/relationships/hyperlink" Target="https://internet.garant.ru/document/redirect/408175315/280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/>
</cp:coreProperties>
</file>