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1"/>
        <w:spacing w:before="108" w:after="108" w:line="240" w:lineRule="auto"/>
        <w:jc w:val="center"/>
        <w:rPr>
          <w:rFonts w:ascii="Times New Roman CYR" w:hAnsi="Times New Roman CYR" w:eastAsia="Times New Roman CYR" w:cs="Times New Roman CYR"/>
          <w:b/>
          <w:color w:val="26282f"/>
          <w:sz w:val="24"/>
        </w:rPr>
      </w:pPr>
      <w:hyperlink r:id="rId11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Постановление Правительства РФ от 17 июня 2015 г. N 599 "О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деятельности" (с изменениями и дополнениями)</w:t>
        </w:r>
      </w:hyperlink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 соответствии с </w:t>
      </w:r>
      <w:hyperlink r:id="rId12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пунктом 1 части 4 статьи 26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Федерального закона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Правительство Российской Федерации постановляет: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1" w:name="sub_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1. Утвердить прилагаемые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Правила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"/>
      <w:bookmarkStart w:id="2" w:name="sub_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2. Федеральным органам исполнительной власти разработать планы мероприятий ("дорожные карты") по повышению значений показателей доступности для инвалидов объектов и услуг в установленных сферах деятельности в соответствии с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Правилами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, утвержденными настоящим постановлением, и утвердить их в срок, обеспечивающий реализацию соответствующих мероприятий начиная с 1 января 2016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"/>
      <w:bookmarkStart w:id="3" w:name="sub_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3. Рекомендовать высшим органам исполнительной власти субъектов Российской Федерации и органам местного самоуправления разработать в соответствии с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Правилами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, утвержденными настоящим постановлением, планы мероприятий ("дорожные карты") по повышению значений показателей доступности для инвалидов объектов и услуг соответственно субъектов Российской Федерации и муниципальных образований и утвердить их в срок, указанный в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пункте 2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настоящего постановления.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"/>
      <w:bookmarkStart w:id="4" w:name="sub_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4. Министерству труда и социальной защиты Российской Федерации давать разъяснения по применению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Правил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, утвержденных настоящим постановлением.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"/>
      <w:bookmarkStart w:id="5" w:name="sub_5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5.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Правила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, утвержденные настоящим постановлением, вступают в силу с 1 января 2016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5"/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0" w:type="dxa"/>
          <w:right w:w="0" w:type="dxa"/>
        </w:tblCellMar>
      </w:tblPr>
      <w:tblGrid>
        <w:gridCol w:w="6867"/>
        <w:gridCol w:w="3433"/>
      </w:tblGrid>
      <w:tr>
        <w:tc>
          <w:tcPr>
            <w:tcW w:w="6867" w:type="dxa"/>
            <w:textDirection w:val="lrTb"/>
            <w:vAlign w:val="top"/>
          </w:tcPr>
          <w:p>
            <w:pPr>
              <w:pStyle w:val="Style_32"/>
              <w:spacing w:before="0" w:after="0" w:line="240" w:lineRule="auto"/>
              <w:ind w:firstLine="0"/>
              <w:jc w:val="lef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Председатель Правительства</w:t>
            </w:r>
            <w:r>
              <w:rPr>
                <w:rFonts w:ascii="Times New Roman CYR" w:hAnsi="Times New Roman CYR" w:eastAsia="Times New Roman CYR" w:cs="Times New Roman CYR"/>
                <w:sz w:val="24"/>
              </w:rPr>
              <w:br/>
            </w: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Российской Федерации</w:t>
            </w:r>
          </w:p>
        </w:tc>
        <w:tc>
          <w:tcPr>
            <w:tcW w:w="3433" w:type="dxa"/>
            <w:textDirection w:val="lrTb"/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righ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Д.</w:t>
            </w: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Медведев</w:t>
            </w:r>
          </w:p>
        </w:tc>
      </w:tr>
    </w:tbl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1"/>
        <w:spacing w:before="108" w:after="108" w:line="240" w:lineRule="auto"/>
        <w:jc w:val="center"/>
        <w:rPr>
          <w:rFonts w:ascii="Times New Roman CYR" w:hAnsi="Times New Roman CYR" w:eastAsia="Times New Roman CYR" w:cs="Times New Roman CYR"/>
          <w:b/>
          <w:color w:val="26282f"/>
          <w:sz w:val="24"/>
        </w:rPr>
      </w:pPr>
      <w:bookmarkStart w:id="6" w:name="sub_1000"/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Правила</w:t>
      </w: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</w:t>
      </w: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(утв.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постановлением</w:t>
        </w:r>
      </w:hyperlink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 Правительства РФ от 17 июня 2015</w:t>
      </w: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г. N</w:t>
      </w: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599)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6"/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7" w:name="sub_100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1. Настоящие Правила определяют порядок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7"/>
      <w:bookmarkStart w:id="8" w:name="sub_100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2. В целях поэтапного обеспечения для инвалидов условий доступности объектов и услуг, определенных </w:t>
      </w:r>
      <w:hyperlink r:id="rId13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статьей 15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Федерального закона "О социальной защите инвалидов в Российской Федерации", иными федеральными законами, законами субъектов Российской Федерации, муниципальными правовыми актами, мероприятия, указанные в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пункте 1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настоящих Правил, включаются в план мероприятий ("дорожную карту") по повышению значений показателей доступности для инвалидов объектов и услуг, предусматривающий сроки их реализации и ответственных исполнителей (далее - план мероприятий).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8"/>
      <w:bookmarkStart w:id="9" w:name="sub_100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3. Планы мероприятий утверждаются: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9"/>
      <w:bookmarkStart w:id="10" w:name="sub_103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а) федеральными органами исполнительной власти по перечню согласно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приложению N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1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, а также находящимися в их ведении федеральными службами и федеральными агентствами, предоставляющими услуги населению (далее - федеральные органы исполнительной власти);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0"/>
      <w:bookmarkStart w:id="11" w:name="sub_103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б) высшими исполнительными органами государственной власти субъектов Российской Федерации;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1"/>
      <w:bookmarkStart w:id="12" w:name="sub_103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в) местными администрациями.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2"/>
      <w:bookmarkStart w:id="13" w:name="sub_100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4. Соответствующие федеральные органы исполнительной власти утверждают планы мероприятий, разработанные государственными внебюджетными фондами Российской Федерации, деятельность которых ими координируется.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3"/>
      <w:bookmarkStart w:id="14" w:name="sub_1005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5. Разработка плана мероприятий субъекта Российской Федерации осуществляется органом, уполномоченным высшим исполнительным органом государственной власти субъекта Российской Федерации. Соисполнителями плана мероприятий являются соответствующие органы исполнительной власти субъекта Российской Федерации в сферах социальной защиты населения, труда и занятости, здравоохранения, образования, культуры, транспорта, связи и информации, физической культуры и спорта, торговли, жилищно-коммунального хозяйства и градостроительства.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4"/>
      <w:bookmarkStart w:id="15" w:name="sub_1006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6. Разработка плана мероприятий муниципального образования осуществляется местной администрацией в соответствии с полномочиями органов местного самоуправления по решению вопросов местного значения.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5"/>
      <w:bookmarkStart w:id="16" w:name="sub_1007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7. План мероприятий должен содержать: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6"/>
      <w:bookmarkStart w:id="17" w:name="sub_107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а) обоснование целей обеспечения доступности для инвалидов объектов и услуг, а также мероприятий по их достижению в установленные сроки;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7"/>
      <w:bookmarkStart w:id="18" w:name="sub_107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б) таблицу повышения значений показателей доступности для инвалидов объектов и услуг по форме согласно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приложению N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2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8"/>
      <w:bookmarkStart w:id="19" w:name="sub_107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в) перечень мероприятий, реализуемых для достижения запланированных значений показателей доступности для инвалидов объектов и услуг по форме согласно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приложению N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 </w:t>
        </w:r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3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9"/>
      <w:bookmarkStart w:id="20" w:name="sub_1008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8. Таблица повышения значений показателей доступности для инвалидов объектов и услуг плана мероприятий субъекта Российской Федерации, муниципального образования должна содержать разделы, отражающие показатели доступности для инвалидов объектов и услуг в соответствии с основными полномочиями в сферах социальной защиты населения, труда и занятости, здравоохранения, образования, культуры, транспорта, связи и информации, физической культуры и спорта, торговли, жилищно-коммунального хозяйства и градостроительства.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0"/>
      <w:bookmarkStart w:id="21" w:name="sub_1009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9. Показатели доступности для инвалидов объектов и услуг, ожидаемые результаты повышения их значений, перечень мероприятий, реализуемых для достижения запланированных значений показателей доступности для инвалидов объектов и услуг, и сроки их реализации определяются утверждающим план мероприятий органом исполнительной власти, местной администрацией исходя: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1"/>
      <w:bookmarkStart w:id="22" w:name="sub_109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а) из национальных стандартов Российской Федерации и (или) сводов правил (части национального стандарта Российской Федерации и (или) части свода правил), предусматривающих требования, указанные в </w:t>
      </w:r>
      <w:hyperlink r:id="rId14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части 2 статьи 6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Федерального закона "Технический регламент о безопасности зданий и сооружений", включенные в реестр требований, подлежащих применению при выполнении инженерных изысканий, осуществлении архитектурно-строительного проектирования, проведении экспертизы проектной документации и (или) экспертизы результатов инженерных изысканий, строительстве, реконструкции, капитальном ремонте, эксплуатации и сносе объектов капитального строительства, в том числе из национальных стандартов Российской Федерации и (или) сводов правил (части национального стандарта Российской Федерации и (или) части свода правил), в результате применения которых обеспечивается соблюдение установленных указанным Федеральным законом требований доступности зданий и сооружений для инвалидов и других групп населения с ограниченными возможностями передвижения;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2"/>
      <w:bookmarkStart w:id="23" w:name="sub_109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б) из анализа текущего состояния доступности для инвалидов объектов и услуг в соответствующих сферах деятельности;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3"/>
      <w:bookmarkStart w:id="24" w:name="sub_109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в) из государственных (муниципальных) программ, а также из стратегий развития в соответствующих сферах деятельности;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4"/>
      <w:bookmarkStart w:id="25" w:name="sub_109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г) из бюджетных ассигнований федерального бюджета, бюджета субъекта Российской Федерации, местного бюджета на очередной финансовый год и плановый период, предусмотренных в целях повышения значений показателей доступности для инвалидов объектов и услуг.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5"/>
      <w:bookmarkStart w:id="26" w:name="sub_1010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10. План мероприятий субъекта Российской Федерации может содержать сведения о мероприятиях по повышению значений показателей доступности для инвалидов объектов и услуг, предусмотренных в планах мероприятий муниципальных образований, реализуемых ими за счет или с использованием средств бюджета субъекта Российской Федерации, в том числе в рамках переданных органам местного самоуправления полномочий субъекта Российской Федерации.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6"/>
      <w:bookmarkStart w:id="27" w:name="sub_101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11. План мероприятий муниципального образования может содержать сведения о мероприятиях по повышению значений показателей доступности для инвалидов объектов и услуг, реализуемых в соответствии с планом мероприятий субъекта Российской Федерации в рамках его полномочий, переданных органам местного самоуправления.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7"/>
      <w:bookmarkStart w:id="28" w:name="sub_101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12. Федеральные органы исполнительной власти, органы исполнительной власти субъектов Российской Федерации, органы местного самоуправления обеспечивают привлечение представителей общественных объединений инвалидов к разработке проектов планов мероприятий и их общественное обсуждение.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8"/>
      <w:bookmarkStart w:id="29" w:name="sub_101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13. Федеральные органы исполнительной власти, высшие исполнительные органы государственной власти субъектов Российской Федерации, местные администрации могут вносить изменения в планы мероприятий с обеспечением согласованности сроков принимаемых решений со сроками формирования проектов соответствующих бюджетов на очередной финансовый год и плановый период и с учетом предварительных итогов реализации планов мероприятий в текущем году.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9"/>
    </w:p>
    <w:p>
      <w:pPr>
        <w:spacing w:before="0" w:after="0" w:line="240" w:lineRule="auto"/>
        <w:ind w:firstLine="698"/>
        <w:jc w:val="right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30" w:name="sub_1100"/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Приложение N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1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к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Правилам</w:t>
        </w:r>
      </w:hyperlink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разработки федеральными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органами исполнительной власти,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органами исполнительной власти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субъектов Российской Федерации,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органами местного самоуправления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мероприятий по повышению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значений показателей доступности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для инвалидов объектов и услуг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в установленных сферах деятельности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0"/>
    </w:p>
    <w:p>
      <w:pPr>
        <w:pStyle w:val="Style_1"/>
        <w:spacing w:before="108" w:after="108" w:line="240" w:lineRule="auto"/>
        <w:jc w:val="center"/>
        <w:rPr>
          <w:rFonts w:ascii="Times New Roman CYR" w:hAnsi="Times New Roman CYR" w:eastAsia="Times New Roman CYR" w:cs="Times New Roman CYR"/>
          <w:b/>
          <w:color w:val="26282f"/>
          <w:sz w:val="24"/>
        </w:rPr>
      </w:pP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Перечень</w:t>
      </w: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федеральных органов исполнительной власти, утверждающих планы мероприятий ("дорожные карты") по повышению значений показателей доступности для инвалидов объектов и услуг в установленных сферах деятельности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31" w:name="sub_110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1. Минтруд России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1"/>
      <w:bookmarkStart w:id="32" w:name="sub_110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2. Минюст России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2"/>
      <w:bookmarkStart w:id="33" w:name="sub_110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3. Минздрав России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3"/>
      <w:bookmarkStart w:id="34" w:name="sub_110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4. Минкультуры России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4"/>
      <w:bookmarkStart w:id="35" w:name="sub_1105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5. Минтранс России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5"/>
      <w:bookmarkStart w:id="36" w:name="sub_1106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6. Минкомсвязь России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6"/>
      <w:bookmarkStart w:id="37" w:name="sub_1107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7. Минобрнауки России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7"/>
      <w:bookmarkStart w:id="38" w:name="sub_1108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8. Минспорт России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8"/>
      <w:bookmarkStart w:id="39" w:name="sub_1109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9. Минстрой России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9"/>
      <w:bookmarkStart w:id="40" w:name="sub_1110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10. Минэкономразвития России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0"/>
      <w:bookmarkStart w:id="41" w:name="sub_111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11. Минпромторг России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1"/>
      <w:bookmarkStart w:id="42" w:name="sub_111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12. МЧС России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2"/>
      <w:bookmarkStart w:id="43" w:name="sub_111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13. МВД России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3"/>
      <w:bookmarkStart w:id="44" w:name="sub_111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14. Минпросвещения России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4"/>
    </w:p>
    <w:p>
      <w:pPr>
        <w:spacing w:before="0" w:after="0" w:line="240" w:lineRule="auto"/>
        <w:ind w:firstLine="698"/>
        <w:jc w:val="right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45" w:name="sub_1200"/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Приложение N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2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к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Правилам</w:t>
        </w:r>
      </w:hyperlink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разработки федеральными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органами исполнительной власти,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органами исполнительной власти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субъектов Российской Федерации,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органами местного самоуправления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мероприятий по повышению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значений показателей доступности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для инвалидов объектов и услуг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в установленных сферах деятельности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5"/>
    </w:p>
    <w:p>
      <w:pPr>
        <w:spacing w:before="0" w:after="0" w:line="240" w:lineRule="auto"/>
        <w:ind w:firstLine="698"/>
        <w:jc w:val="right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(форма)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1"/>
        <w:spacing w:before="108" w:after="108" w:line="240" w:lineRule="auto"/>
        <w:jc w:val="center"/>
        <w:rPr>
          <w:rFonts w:ascii="Times New Roman CYR" w:hAnsi="Times New Roman CYR" w:eastAsia="Times New Roman CYR" w:cs="Times New Roman CYR"/>
          <w:b/>
          <w:color w:val="26282f"/>
          <w:sz w:val="24"/>
        </w:rPr>
      </w:pP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Таблица</w:t>
      </w: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повышения значений показателей доступности для инвалидов объектов и услуг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357"/>
        <w:gridCol w:w="1161"/>
        <w:gridCol w:w="774"/>
        <w:gridCol w:w="742"/>
        <w:gridCol w:w="801"/>
        <w:gridCol w:w="774"/>
        <w:gridCol w:w="609"/>
        <w:gridCol w:w="3149"/>
      </w:tblGrid>
      <w:tr>
        <w:tc>
          <w:tcPr>
            <w:tcW w:w="2357" w:type="dxa"/>
            <w:vMerge w:val="restart"/>
            <w:tcBorders>
              <w:top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Наименование показателя доступности для инвалидов объектов и услуг</w:t>
            </w:r>
            <w:hyperlink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</w:rPr>
                <w:t xml:space="preserve">*</w:t>
              </w:r>
            </w:hyperlink>
          </w:p>
        </w:tc>
        <w:tc>
          <w:tcPr>
            <w:tcW w:w="1161" w:type="dxa"/>
            <w:vMerge w:val="restart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Единица измерения</w:t>
            </w:r>
          </w:p>
        </w:tc>
        <w:tc>
          <w:tcPr>
            <w:tcW w:w="3700" w:type="dxa"/>
            <w:gridSpan w:val="5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Значения показателей</w:t>
            </w:r>
          </w:p>
        </w:tc>
        <w:tc>
          <w:tcPr>
            <w:tcW w:w="3149" w:type="dxa"/>
            <w:vMerge w:val="restart"/>
            <w:tcBorders>
              <w:top w:val="single" w:sz="4"/>
              <w:left w:val="single" w:sz="4"/>
              <w:bottom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Структурное подразделение (должностное лицо), ответственное за мониторинг и достижение запланированных значений показателей доступности для инвалидов объектов и услуг</w:t>
            </w:r>
          </w:p>
        </w:tc>
      </w:tr>
      <w:tr>
        <w:tc>
          <w:tcPr>
            <w:tcW w:w="2357" w:type="dxa"/>
            <w:vMerge w:val="continue"/>
            <w:tcBorders>
              <w:top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Fonts w:ascii="Times New Roman CYR" w:hAnsi="Times New Roman CYR" w:eastAsia="Times New Roman CYR" w:cs="Times New Roman CYR"/>
                <w:sz w:val="24"/>
              </w:rPr>
            </w:pPr>
          </w:p>
        </w:tc>
        <w:tc>
          <w:tcPr>
            <w:tcW w:w="1161" w:type="dxa"/>
            <w:vMerge w:val="continue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Fonts w:ascii="Times New Roman CYR" w:hAnsi="Times New Roman CYR" w:eastAsia="Times New Roman CYR" w:cs="Times New Roman CYR"/>
                <w:sz w:val="24"/>
              </w:rPr>
            </w:pPr>
          </w:p>
        </w:tc>
        <w:tc>
          <w:tcPr>
            <w:tcW w:w="77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2014 год</w:t>
            </w:r>
          </w:p>
        </w:tc>
        <w:tc>
          <w:tcPr>
            <w:tcW w:w="74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2015 год</w:t>
            </w:r>
          </w:p>
        </w:tc>
        <w:tc>
          <w:tcPr>
            <w:tcW w:w="80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2016 год</w:t>
            </w:r>
          </w:p>
        </w:tc>
        <w:tc>
          <w:tcPr>
            <w:tcW w:w="774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2017 год</w:t>
            </w:r>
          </w:p>
        </w:tc>
        <w:tc>
          <w:tcPr>
            <w:tcW w:w="60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...</w:t>
            </w:r>
          </w:p>
        </w:tc>
        <w:tc>
          <w:tcPr>
            <w:tcW w:w="3149" w:type="dxa"/>
            <w:vMerge w:val="continue"/>
            <w:tcBorders>
              <w:top w:val="single" w:sz="4"/>
              <w:left w:val="single" w:sz="4"/>
              <w:bottom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Fonts w:ascii="Times New Roman CYR" w:hAnsi="Times New Roman CYR" w:eastAsia="Times New Roman CYR" w:cs="Times New Roman CYR"/>
                <w:sz w:val="24"/>
              </w:rPr>
            </w:pPr>
          </w:p>
        </w:tc>
      </w:tr>
    </w:tbl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spacing w:before="0" w:after="0" w:line="240" w:lineRule="auto"/>
        <w:ind w:firstLine="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_____________________________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46" w:name="sub_120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* Наряду с общими показателями, характеризующими доступность объектов и услуг для всех инвалидов, в таблицу включаются показатели, дифференцируемые в зависимости от стойких расстройств функций организма (зрения, слуха, опорно-двигательного аппарата).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6"/>
    </w:p>
    <w:p>
      <w:pPr>
        <w:spacing w:before="0" w:after="0" w:line="240" w:lineRule="auto"/>
        <w:ind w:firstLine="698"/>
        <w:jc w:val="right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47" w:name="sub_1300"/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Приложение N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3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к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Правилам</w:t>
        </w:r>
      </w:hyperlink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разработки федеральными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органами исполнительной власти,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органами исполнительной власти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субъектов Российской Федерации,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органами местного самоуправления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мероприятий по повышению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значений показателей доступности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для инвалидов объектов и услуг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в установленных сферах деятельности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7"/>
    </w:p>
    <w:p>
      <w:pPr>
        <w:spacing w:before="0" w:after="0" w:line="240" w:lineRule="auto"/>
        <w:ind w:firstLine="698"/>
        <w:jc w:val="right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(форма)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1"/>
        <w:spacing w:before="108" w:after="108" w:line="240" w:lineRule="auto"/>
        <w:jc w:val="center"/>
        <w:rPr>
          <w:rFonts w:ascii="Times New Roman CYR" w:hAnsi="Times New Roman CYR" w:eastAsia="Times New Roman CYR" w:cs="Times New Roman CYR"/>
          <w:b/>
          <w:color w:val="26282f"/>
          <w:sz w:val="24"/>
        </w:rPr>
      </w:pP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Перечень</w:t>
      </w: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мероприятий, реализуемых для достижения запланированных значений показателей доступности для инвалидов объектов и услуг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520"/>
        <w:gridCol w:w="2240"/>
        <w:gridCol w:w="1540"/>
        <w:gridCol w:w="1120"/>
        <w:gridCol w:w="2660"/>
      </w:tblGrid>
      <w:tr>
        <w:tc>
          <w:tcPr>
            <w:tcW w:w="2520" w:type="dxa"/>
            <w:tcBorders>
              <w:top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Наименование мероприятия</w:t>
            </w:r>
          </w:p>
        </w:tc>
        <w:tc>
          <w:tcPr>
            <w:tcW w:w="22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Нормативный правовой акт, иной документ, которым предусмотрено проведение мероприятия</w:t>
            </w:r>
          </w:p>
        </w:tc>
        <w:tc>
          <w:tcPr>
            <w:tcW w:w="15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Ответственные исполнители, соисполнители</w:t>
            </w:r>
          </w:p>
        </w:tc>
        <w:tc>
          <w:tcPr>
            <w:tcW w:w="112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Срок реализации</w:t>
            </w:r>
          </w:p>
        </w:tc>
        <w:tc>
          <w:tcPr>
            <w:tcW w:w="2660" w:type="dxa"/>
            <w:tcBorders>
              <w:top w:val="single" w:sz="4"/>
              <w:left w:val="single" w:sz="4"/>
              <w:bottom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Планируемые 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>
        <w:tc>
          <w:tcPr>
            <w:tcW w:w="10080" w:type="dxa"/>
            <w:gridSpan w:val="5"/>
            <w:tcBorders>
              <w:top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bookmarkStart w:id="48" w:name="sub_1301"/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Раздел 1. Мероприятия по поэтапному повышению значений показателей доступности для инвалидов объектов инфраструктуры (транспортных средств, средств связи и информации), включая оборудование объектов необходимыми приспособлениями</w:t>
            </w:r>
            <w:bookmarkEnd w:id="48"/>
          </w:p>
        </w:tc>
      </w:tr>
      <w:tr>
        <w:tc>
          <w:tcPr>
            <w:tcW w:w="10080" w:type="dxa"/>
            <w:gridSpan w:val="5"/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bookmarkStart w:id="49" w:name="sub_1302"/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  <w:bookmarkEnd w:id="49"/>
          </w:p>
        </w:tc>
      </w:tr>
    </w:tbl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sectPr>
      <w:headerReference w:type="default" r:id="rId9"/>
      <w:footerReference w:type="default" r:id="rId10"/>
      <w:type w:val="nextPage"/>
      <w:pgSz w:w="11900" w:h="16800"/>
      <w:pgMar w:top="1440" w:right="800" w:bottom="1440" w:left="800" w:header="720" w:footer="72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separator/>
      </w:r>
    </w:p>
  </w:endnote>
  <w:endnote w:type="continuationSeparator" w:id="1">
    <w:p>
      <w:pPr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433"/>
      <w:gridCol w:w="3433"/>
      <w:gridCol w:w="3433"/>
    </w:tblGrid>
    <w:tr>
      <w:tc>
        <w:tcPr>
          <w:tcW w:w="3433" w:type="dxa"/>
          <w:shd w:val="nil"/>
          <w:textDirection w:val="lrTb"/>
          <w:vAlign w:val="top"/>
        </w:tcPr>
        <w:p>
          <w:pPr>
            <w:pStyle w:val="Style_65554"/>
            <w:spacing w:before="0" w:after="0" w:line="240" w:lineRule="auto"/>
            <w:ind w:left="0" w:firstLine="0"/>
            <w:jc w:val="left"/>
            <w:rPr>
              <w:rFonts w:ascii="Times New Roman" w:hAnsi="Times New Roman" w:eastAsia="Times New Roman" w:cs="Times New Roman"/>
              <w:sz w:val="20"/>
            </w:rPr>
          </w:pPr>
          <w:r>
            <w:rPr>
              <w:rFonts w:ascii="Times New Roman" w:hAnsi="Times New Roman" w:eastAsia="Times New Roman" w:cs="Times New Roman"/>
              <w:sz w:val="20"/>
            </w:rPr>
            <w:fldChar w:fldCharType="begin"/>
          </w:r>
          <w:r>
            <w:rPr>
              <w:rFonts w:ascii="Times New Roman" w:hAnsi="Times New Roman" w:eastAsia="Times New Roman" w:cs="Times New Roman"/>
              <w:sz w:val="20"/>
            </w:rPr>
            <w:instrText xml:space="preserve">CREATEDATE  \@ "dd.MM.yyyy"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20"/>
            </w:rPr>
            <w:t xml:space="preserve">28.01.2025</w:t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 w:val="20"/>
            </w:rPr>
            <w:t xml:space="preserve"> </w:t>
          </w:r>
        </w:p>
      </w:tc>
      <w:tc>
        <w:tcPr>
          <w:tcW w:w="3433" w:type="dxa"/>
          <w:shd w:val="nil"/>
          <w:textDirection w:val="lrTb"/>
          <w:vAlign w:val="top"/>
        </w:tcPr>
        <w:p>
          <w:pPr>
            <w:pStyle w:val="Style_65554"/>
            <w:spacing w:before="0" w:after="0" w:line="240" w:lineRule="auto"/>
            <w:ind w:left="0" w:firstLine="0"/>
            <w:jc w:val="center"/>
            <w:rPr>
              <w:rFonts w:ascii="Times New Roman" w:hAnsi="Times New Roman" w:eastAsia="Times New Roman" w:cs="Times New Roman"/>
              <w:sz w:val="20"/>
            </w:rPr>
          </w:pPr>
          <w:r>
            <w:rPr>
              <w:rFonts w:ascii="Times New Roman" w:hAnsi="Times New Roman" w:eastAsia="Times New Roman" w:cs="Times New Roman"/>
              <w:sz w:val="20"/>
            </w:rPr>
            <w:t xml:space="preserve">Система ГАРАНТ</w:t>
          </w:r>
        </w:p>
      </w:tc>
      <w:tc>
        <w:tcPr>
          <w:tcW w:w="3433" w:type="dxa"/>
          <w:shd w:val="nil"/>
          <w:textDirection w:val="lrTb"/>
          <w:vAlign w:val="top"/>
        </w:tcPr>
        <w:p>
          <w:pPr>
            <w:pStyle w:val="Style_65554"/>
            <w:spacing w:before="0" w:after="0" w:line="240" w:lineRule="auto"/>
            <w:ind w:left="0" w:firstLine="0"/>
            <w:jc w:val="right"/>
            <w:rPr>
              <w:rFonts w:ascii="Times New Roman" w:hAnsi="Times New Roman" w:eastAsia="Times New Roman" w:cs="Times New Roman"/>
              <w:sz w:val="20"/>
            </w:rPr>
          </w:pPr>
          <w:r>
            <w:rPr>
              <w:rFonts w:ascii="Arial" w:hAnsi="Arial" w:eastAsia="Arial" w:cs="Arial"/>
            </w:rPr>
            <w:fldChar w:fldCharType="begin"/>
          </w:r>
          <w:r>
            <w:rPr>
              <w:rFonts w:ascii="Arial" w:hAnsi="Arial" w:eastAsia="Arial" w:cs="Arial"/>
            </w:rPr>
            <w:instrText xml:space="preserve">PAGE  \* MERGEFORMAT </w:instrText>
          </w:r>
          <w:r>
            <w:fldChar w:fldCharType="separate"/>
          </w:r>
          <w:r>
            <w:rPr>
              <w:rFonts w:ascii="Arial" w:hAnsi="Arial" w:eastAsia="Arial" w:cs="Arial"/>
            </w:rPr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 w:val="20"/>
            </w:rPr>
            <w:t xml:space="preserve">/</w:t>
          </w:r>
          <w:r>
            <w:rPr>
              <w:rFonts w:ascii="Arial" w:hAnsi="Arial" w:eastAsia="Arial" w:cs="Arial"/>
            </w:rPr>
            <w:fldChar w:fldCharType="begin"/>
          </w:r>
          <w:r>
            <w:rPr>
              <w:rFonts w:ascii="Arial" w:hAnsi="Arial" w:eastAsia="Arial" w:cs="Arial"/>
            </w:rPr>
            <w:instrText xml:space="preserve">NUMPAGES  \* Arabic  \* MERGEFORMAT </w:instrText>
          </w:r>
          <w:r>
            <w:fldChar w:fldCharType="separate"/>
          </w:r>
          <w:r>
            <w:rPr>
              <w:rFonts w:ascii="Arial" w:hAnsi="Arial" w:eastAsia="Arial" w:cs="Arial"/>
            </w:rPr>
          </w:r>
          <w:r>
            <w:fldChar w:fldCharType="end"/>
          </w:r>
        </w:p>
      </w:tc>
    </w:tr>
  </w:tbl>
  <w:p>
    <w:pPr>
      <w:jc w:val="left"/>
      <w:rPr>
        <w:rFonts w:ascii="Arial" w:hAnsi="Arial" w:eastAsia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separator/>
      </w:r>
    </w:p>
  </w:footnote>
  <w:footnote w:type="continuationSeparator" w:id="1">
    <w:p>
      <w:pPr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65553"/>
      <w:spacing w:before="0" w:after="0" w:line="240" w:lineRule="auto"/>
      <w:ind w:left="0" w:firstLine="0"/>
      <w:jc w:val="left"/>
      <w:rPr>
        <w:rFonts w:ascii="Times New Roman" w:hAnsi="Times New Roman" w:eastAsia="Times New Roman" w:cs="Times New Roman"/>
        <w:sz w:val="20"/>
      </w:rPr>
    </w:pPr>
    <w:r>
      <w:rPr>
        <w:rFonts w:ascii="Times New Roman" w:hAnsi="Times New Roman" w:eastAsia="Times New Roman" w:cs="Times New Roman"/>
        <w:sz w:val="20"/>
      </w:rPr>
      <w:t xml:space="preserve">Постановление Правительства РФ от 17 июня 2015 г. N 599 "О порядке и сроках разработки федеральными…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59274983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Arial" w:hAnsi="Arial" w:eastAsia="Arial" w:cs="Arial"/>
      </w:rPr>
    </w:lvl>
  </w:abstractNum>
  <w:num w:numId="1">
    <w:abstractNumId w:val="18592749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4"/>
      </w:rPr>
    </w:rPrDefault>
    <w:pPrDefault>
      <w:pPr>
        <w:spacing w:before="0" w:after="0" w:line="240" w:lineRule="auto"/>
        <w:jc w:val="left"/>
        <w:rPr>
          <w:rFonts w:ascii="Arial" w:hAnsi="Arial" w:eastAsia="Arial" w:cs="Arial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pPr>
      <w:spacing w:before="0" w:after="0" w:line="240" w:lineRule="auto"/>
      <w:ind w:firstLine="720"/>
      <w:jc w:val="both"/>
      <w:rPr>
        <w:rFonts w:ascii="Arial" w:hAnsi="Arial" w:eastAsia="Arial" w:cs="Arial"/>
      </w:rPr>
    </w:pPr>
    <w:rPr>
      <w:rFonts w:ascii="Times New Roman CYR" w:hAnsi="Times New Roman CYR" w:eastAsia="Times New Roman CYR" w:cs="Times New Roman CYR"/>
      <w:sz w:val="24"/>
    </w:rPr>
  </w:style>
  <w:style w:type="character" w:styleId="Style_26">
    <w:name w:val="Цветовое выделение"/>
    <w:basedOn w:val="Style_65552"/>
    <w:rPr>
      <w:rFonts w:ascii="Arial" w:hAnsi="Arial" w:eastAsia="Arial" w:cs="Arial"/>
      <w:b/>
      <w:color w:val="26282f"/>
      <w:sz w:val="24"/>
    </w:rPr>
  </w:style>
  <w:style w:type="character" w:styleId="Style_24">
    <w:name w:val="Гипертекстовая ссылка"/>
    <w:basedOn w:val="Style_26"/>
    <w:rPr>
      <w:rFonts w:ascii="Arial" w:hAnsi="Arial" w:eastAsia="Arial" w:cs="Arial"/>
      <w:b w:val="0"/>
      <w:color w:val="106bbe"/>
      <w:sz w:val="24"/>
    </w:rPr>
  </w:style>
  <w:style w:type="paragraph" w:styleId="Style_1">
    <w:name w:val="heading 1"/>
    <w:basedOn w:val="Style_0"/>
    <w:pPr>
      <w:spacing w:before="108" w:after="108" w:line="240" w:lineRule="auto"/>
      <w:jc w:val="center"/>
      <w:rPr>
        <w:rFonts w:ascii="Arial" w:hAnsi="Arial" w:eastAsia="Arial" w:cs="Arial"/>
      </w:rPr>
    </w:pPr>
    <w:rPr>
      <w:rFonts w:ascii="Times New Roman CYR" w:hAnsi="Times New Roman CYR" w:eastAsia="Times New Roman CYR" w:cs="Times New Roman CYR"/>
      <w:b/>
      <w:color w:val="26282f"/>
      <w:sz w:val="24"/>
    </w:rPr>
  </w:style>
  <w:style w:type="paragraph" w:styleId="Style_33">
    <w:name w:val="Нормальный (таблица)"/>
    <w:basedOn w:val="Style_0"/>
    <w:pPr>
      <w:spacing w:before="0" w:after="0" w:line="240" w:lineRule="auto"/>
      <w:jc w:val="both"/>
      <w:rPr>
        <w:rFonts w:ascii="Arial" w:hAnsi="Arial" w:eastAsia="Arial" w:cs="Arial"/>
      </w:rPr>
    </w:pPr>
    <w:rPr>
      <w:rFonts w:ascii="Times New Roman CYR" w:hAnsi="Times New Roman CYR" w:eastAsia="Times New Roman CYR" w:cs="Times New Roman CYR"/>
      <w:sz w:val="24"/>
    </w:rPr>
  </w:style>
  <w:style w:type="paragraph" w:styleId="Style_32">
    <w:name w:val="Прижатый влево"/>
    <w:basedOn w:val="Style_0"/>
    <w:pPr>
      <w:spacing w:before="0" w:after="0" w:line="240" w:lineRule="auto"/>
      <w:ind w:firstLine="0"/>
      <w:jc w:val="left"/>
      <w:rPr>
        <w:rFonts w:ascii="Arial" w:hAnsi="Arial" w:eastAsia="Arial" w:cs="Arial"/>
      </w:rPr>
    </w:pPr>
    <w:rPr>
      <w:rFonts w:ascii="Times New Roman CYR" w:hAnsi="Times New Roman CYR" w:eastAsia="Times New Roman CYR" w:cs="Times New Roman CYR"/>
      <w:sz w:val="24"/>
    </w:rPr>
  </w:style>
  <w:style w:type="character" w:styleId="Style_65552">
    <w:name w:val="Цветовое выделение для Текст"/>
    <w:basedOn w:val="Style_65552"/>
    <w:rPr>
      <w:rFonts w:ascii="Times New Roman CYR" w:hAnsi="Times New Roman CYR" w:eastAsia="Times New Roman CYR" w:cs="Times New Roman CYR"/>
      <w:sz w:val="24"/>
    </w:rPr>
  </w:style>
  <w:style w:type="paragraph" w:styleId="Style_65553">
    <w:name w:val="header"/>
    <w:basedOn w:val="Style_0"/>
    <w:pPr>
      <w:spacing w:before="0" w:after="0" w:line="240" w:lineRule="auto"/>
      <w:jc w:val="center"/>
      <w:rPr>
        <w:rFonts w:ascii="Arial" w:hAnsi="Arial" w:eastAsia="Arial" w:cs="Arial"/>
      </w:rPr>
    </w:pPr>
    <w:rPr>
      <w:rFonts w:ascii="Times New Roman" w:hAnsi="Times New Roman" w:eastAsia="Times New Roman" w:cs="Times New Roman"/>
      <w:sz w:val="20"/>
    </w:rPr>
  </w:style>
  <w:style w:type="paragraph" w:styleId="Style_65554">
    <w:name w:val="footer"/>
    <w:basedOn w:val="Style_0"/>
    <w:pPr>
      <w:spacing w:before="0" w:after="0" w:line="240" w:lineRule="auto"/>
      <w:jc w:val="left"/>
      <w:rPr>
        <w:rFonts w:ascii="Arial" w:hAnsi="Arial" w:eastAsia="Arial" w:cs="Arial"/>
      </w:rPr>
    </w:pPr>
    <w:rPr>
      <w:rFonts w:ascii="Times New Roman" w:hAnsi="Times New Roman" w:eastAsia="Times New Roman" w:cs="Times New Roman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internet.garant.ru/document/redirect/71095198/0" TargetMode="External"/><Relationship Id="rId12" Type="http://schemas.openxmlformats.org/officeDocument/2006/relationships/hyperlink" Target="https://internet.garant.ru/document/redirect/70809036/2641" TargetMode="External"/><Relationship Id="rId13" Type="http://schemas.openxmlformats.org/officeDocument/2006/relationships/hyperlink" Target="https://internet.garant.ru/document/redirect/10164504/15" TargetMode="External"/><Relationship Id="rId14" Type="http://schemas.openxmlformats.org/officeDocument/2006/relationships/hyperlink" Target="https://internet.garant.ru/document/redirect/12172032/6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/>
</cp:coreProperties>
</file>